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Calibri" w:cs="Calibri" w:eastAsia="Calibri" w:hAnsi="Calibri"/>
          <w:b/>
          <w:bCs/>
          <w:color w:val="1F3A5F"/>
          <w:sz w:val="34"/>
          <w:szCs w:val="34"/>
        </w:rPr>
        <w:t xml:space="preserve">CONTRATTO DI CONSULENZA IN WEB MARKETING</w:t>
      </w:r>
    </w:p>
    <w:p>
      <w:pPr>
        <w:spacing w:after="60"/>
        <w:jc w:val="center"/>
      </w:pPr>
      <w:r>
        <w:rPr>
          <w:rFonts w:ascii="Calibri" w:cs="Calibri" w:eastAsia="Calibri" w:hAnsi="Calibri"/>
          <w:color w:val="5A6472"/>
          <w:sz w:val="22"/>
          <w:szCs w:val="22"/>
        </w:rPr>
        <w:t xml:space="preserve">FAC-SIMILE · Edizione aggiornata ad agosto 2026</w:t>
      </w:r>
    </w:p>
    <w:p>
      <w:pPr>
        <w:spacing w:after="260"/>
        <w:jc w:val="center"/>
      </w:pPr>
      <w:r>
        <w:rPr>
          <w:rFonts w:ascii="Calibri" w:cs="Calibri" w:eastAsia="Calibri" w:hAnsi="Calibri"/>
          <w:i/>
          <w:iCs/>
          <w:color w:val="5A6472"/>
          <w:sz w:val="17"/>
          <w:szCs w:val="17"/>
        </w:rPr>
        <w:t xml:space="preserve">Documento a cura della redazione di DB Agenzie Italia — dbagenzieitalia.it</w:t>
      </w:r>
    </w:p>
    <w:p>
      <w:pPr>
        <w:pBdr>
          <w:top w:val="single" w:color="E8C77A" w:sz="6" w:space="8"/>
          <w:bottom w:val="single" w:color="E8C77A" w:sz="6" w:space="8"/>
          <w:left w:val="single" w:color="E8C77A" w:sz="6" w:space="8"/>
          <w:right w:val="single" w:color="E8C77A" w:sz="6" w:space="8"/>
        </w:pBdr>
        <w:shd w:fill="FFF6E5" w:val="clear"/>
        <w:spacing w:after="60" w:before="60"/>
      </w:pPr>
      <w:r>
        <w:rPr>
          <w:rFonts w:ascii="Calibri" w:cs="Calibri" w:eastAsia="Calibri" w:hAnsi="Calibri"/>
          <w:b/>
          <w:bCs/>
          <w:color w:val="8A6100"/>
          <w:sz w:val="20"/>
          <w:szCs w:val="20"/>
        </w:rPr>
        <w:t xml:space="preserve">AVVERTENZA</w:t>
      </w:r>
    </w:p>
    <w:p>
      <w:pPr>
        <w:pBdr>
          <w:left w:val="single" w:color="E8C77A" w:sz="6" w:space="8"/>
          <w:right w:val="single" w:color="E8C77A" w:sz="6" w:space="8"/>
        </w:pBdr>
        <w:shd w:fill="FFF6E5" w:val="clear"/>
        <w:spacing w:after="100" w:line="268"/>
        <w:jc w:val="both"/>
      </w:pPr>
      <w:r>
        <w:rPr>
          <w:rFonts w:ascii="Calibri" w:cs="Calibri" w:eastAsia="Calibri" w:hAnsi="Calibri"/>
          <w:color w:val="5B4400"/>
          <w:sz w:val="18"/>
          <w:szCs w:val="18"/>
        </w:rPr>
        <w:t xml:space="preserve">Questo è un fac-simile generico, redatto a scopo informativo e divulgativo. Non è un parere legale, non è calibrato su un caso concreto e non sostituisce l'assistenza di un professionista.</w:t>
      </w:r>
    </w:p>
    <w:p>
      <w:pPr>
        <w:pBdr>
          <w:left w:val="single" w:color="E8C77A" w:sz="6" w:space="8"/>
          <w:right w:val="single" w:color="E8C77A" w:sz="6" w:space="8"/>
        </w:pBdr>
        <w:shd w:fill="FFF6E5" w:val="clear"/>
        <w:spacing w:after="100" w:line="268"/>
        <w:jc w:val="both"/>
      </w:pPr>
      <w:r>
        <w:rPr>
          <w:rFonts w:ascii="Calibri" w:cs="Calibri" w:eastAsia="Calibri" w:hAnsi="Calibri"/>
          <w:color w:val="5B4400"/>
          <w:sz w:val="18"/>
          <w:szCs w:val="18"/>
        </w:rPr>
        <w:t xml:space="preserve">La soluzione migliore resta sempre rivolgersi a uno studio legale specializzato in diritto digitale e contrattualistica d'impresa, che possa cucire il documento sulle caratteristiche del rapporto: servizi effettivamente compresi, presenza di subfornitori, gestione di budget di terzi, trattamento di dati personali e livello di rischio che si è disposti ad assumersi.</w:t>
      </w:r>
    </w:p>
    <w:p>
      <w:pPr>
        <w:pBdr>
          <w:bottom w:val="single" w:color="E8C77A" w:sz="6" w:space="8"/>
          <w:left w:val="single" w:color="E8C77A" w:sz="6" w:space="8"/>
          <w:right w:val="single" w:color="E8C77A" w:sz="6" w:space="8"/>
        </w:pBdr>
        <w:shd w:fill="FFF6E5" w:val="clear"/>
        <w:spacing w:after="60" w:line="268"/>
        <w:jc w:val="both"/>
      </w:pPr>
      <w:r>
        <w:rPr>
          <w:rFonts w:ascii="Calibri" w:cs="Calibri" w:eastAsia="Calibri" w:hAnsi="Calibri"/>
          <w:color w:val="5B4400"/>
          <w:sz w:val="18"/>
          <w:szCs w:val="18"/>
        </w:rPr>
        <w:t xml:space="preserve">Le parti tra parentesi quadre vanno compilate. Le note in corsivo sono spiegazioni per chi compila e vanno cancellate dal documento definitivo.</w:t>
      </w:r>
    </w:p>
    <w:p>
      <w:pPr>
        <w:spacing w:after="240" w:line="276"/>
        <w:jc w:val="both"/>
      </w:pPr>
      <w:r>
        <w:rPr>
          <w:rFonts w:ascii="Calibri" w:cs="Calibri" w:eastAsia="Calibri" w:hAnsi="Calibri"/>
          <w:b w:val="false"/>
          <w:bCs w:val="false"/>
          <w:i w:val="false"/>
          <w:iCs w:val="false"/>
          <w:color w:val="1A1A1A"/>
          <w:sz w:val="20"/>
          <w:szCs w:val="20"/>
        </w:rPr>
        <w:t xml:space="preserve"/>
      </w:r>
    </w:p>
    <w:p>
      <w:pPr>
        <w:spacing w:after="120" w:line="276"/>
        <w:jc w:val="both"/>
      </w:pPr>
      <w:r>
        <w:rPr>
          <w:rFonts w:ascii="Calibri" w:cs="Calibri" w:eastAsia="Calibri" w:hAnsi="Calibri"/>
          <w:b w:val="false"/>
          <w:bCs w:val="false"/>
          <w:i w:val="false"/>
          <w:iCs w:val="false"/>
          <w:color w:val="1A1A1A"/>
          <w:sz w:val="20"/>
          <w:szCs w:val="20"/>
        </w:rPr>
        <w:t xml:space="preserve">Tra i sottoscritti:</w:t>
      </w:r>
    </w:p>
    <w:p>
      <w:pPr>
        <w:spacing w:after="120" w:line="276"/>
        <w:jc w:val="both"/>
      </w:pPr>
      <w:r>
        <w:rPr>
          <w:rFonts w:ascii="Calibri" w:cs="Calibri" w:eastAsia="Calibri" w:hAnsi="Calibri"/>
          <w:b w:val="false"/>
          <w:bCs w:val="false"/>
          <w:i w:val="false"/>
          <w:iCs w:val="false"/>
          <w:color w:val="1A1A1A"/>
          <w:sz w:val="20"/>
          <w:szCs w:val="20"/>
        </w:rPr>
        <w:t xml:space="preserve">[DENOMINAZIONE], con sede in [indirizzo, CAP, città], C.F./P. IVA [___], in persona di [nome e cognome], PEC [___] — di seguito «Cliente»</w:t>
      </w:r>
    </w:p>
    <w:p>
      <w:pPr>
        <w:spacing w:after="120" w:line="276"/>
        <w:jc w:val="both"/>
      </w:pPr>
      <w:r>
        <w:rPr>
          <w:rFonts w:ascii="Calibri" w:cs="Calibri" w:eastAsia="Calibri" w:hAnsi="Calibri"/>
          <w:b w:val="false"/>
          <w:bCs w:val="false"/>
          <w:i w:val="false"/>
          <w:iCs w:val="false"/>
          <w:color w:val="1A1A1A"/>
          <w:sz w:val="20"/>
          <w:szCs w:val="20"/>
        </w:rPr>
        <w:t xml:space="preserve">e</w:t>
      </w:r>
    </w:p>
    <w:p>
      <w:pPr>
        <w:spacing w:after="120" w:line="276"/>
        <w:jc w:val="both"/>
      </w:pPr>
      <w:r>
        <w:rPr>
          <w:rFonts w:ascii="Calibri" w:cs="Calibri" w:eastAsia="Calibri" w:hAnsi="Calibri"/>
          <w:b w:val="false"/>
          <w:bCs w:val="false"/>
          <w:i w:val="false"/>
          <w:iCs w:val="false"/>
          <w:color w:val="1A1A1A"/>
          <w:sz w:val="20"/>
          <w:szCs w:val="20"/>
        </w:rPr>
        <w:t xml:space="preserve">[DENOMINAZIONE / NOME E COGNOME], con sede in [indirizzo, CAP, città], C.F./P. IVA [___], PEC [___] — di seguito «Fornitore»</w:t>
      </w:r>
    </w:p>
    <w:p>
      <w:pPr>
        <w:spacing w:after="120" w:line="276"/>
        <w:jc w:val="both"/>
      </w:pPr>
      <w:r>
        <w:rPr>
          <w:rFonts w:ascii="Calibri" w:cs="Calibri" w:eastAsia="Calibri" w:hAnsi="Calibri"/>
          <w:b w:val="false"/>
          <w:bCs w:val="false"/>
          <w:i w:val="false"/>
          <w:iCs w:val="false"/>
          <w:color w:val="1A1A1A"/>
          <w:sz w:val="20"/>
          <w:szCs w:val="20"/>
        </w:rPr>
        <w:t xml:space="preserve">di seguito congiuntamente le «Parti».</w:t>
      </w:r>
    </w:p>
    <w:p>
      <w:pPr>
        <w:pBdr>
          <w:bottom w:val="single" w:color="D9DEE5" w:sz="6" w:space="4"/>
        </w:pBdr>
        <w:spacing w:after="140" w:before="280"/>
      </w:pPr>
      <w:r>
        <w:rPr>
          <w:rFonts w:ascii="Calibri" w:cs="Calibri" w:eastAsia="Calibri" w:hAnsi="Calibri"/>
          <w:b/>
          <w:bCs/>
          <w:color w:val="1F3A5F"/>
          <w:sz w:val="24"/>
          <w:szCs w:val="24"/>
        </w:rPr>
        <w:t xml:space="preserve">PREMESSO CHE</w:t>
      </w:r>
    </w:p>
    <w:p>
      <w:pPr>
        <w:pStyle w:val="ListParagraph"/>
        <w:numPr>
          <w:ilvl w:val="0"/>
          <w:numId w:val="2"/>
        </w:numPr>
        <w:spacing w:after="80" w:line="276"/>
        <w:jc w:val="both"/>
      </w:pPr>
      <w:r>
        <w:rPr>
          <w:rFonts w:ascii="Calibri" w:cs="Calibri" w:eastAsia="Calibri" w:hAnsi="Calibri"/>
          <w:color w:val="1A1A1A"/>
          <w:sz w:val="20"/>
          <w:szCs w:val="20"/>
        </w:rPr>
        <w:t xml:space="preserve">il Cliente svolge attività di [___] e intende avvalersi di servizi professionali di marketing digitale;</w:t>
      </w:r>
    </w:p>
    <w:p>
      <w:pPr>
        <w:pStyle w:val="ListParagraph"/>
        <w:numPr>
          <w:ilvl w:val="0"/>
          <w:numId w:val="2"/>
        </w:numPr>
        <w:spacing w:after="80" w:line="276"/>
        <w:jc w:val="both"/>
      </w:pPr>
      <w:r>
        <w:rPr>
          <w:rFonts w:ascii="Calibri" w:cs="Calibri" w:eastAsia="Calibri" w:hAnsi="Calibri"/>
          <w:color w:val="1A1A1A"/>
          <w:sz w:val="20"/>
          <w:szCs w:val="20"/>
        </w:rPr>
        <w:t xml:space="preserve">il Fornitore svolge professionalmente attività di consulenza e servizi di marketing digitale e dichiara di disporre delle competenze necessarie, direttamente o mediante collaboratori di propria fiducia;</w:t>
      </w:r>
    </w:p>
    <w:p>
      <w:pPr>
        <w:pStyle w:val="ListParagraph"/>
        <w:numPr>
          <w:ilvl w:val="0"/>
          <w:numId w:val="2"/>
        </w:numPr>
        <w:spacing w:after="80" w:line="276"/>
        <w:jc w:val="both"/>
      </w:pPr>
      <w:r>
        <w:rPr>
          <w:rFonts w:ascii="Calibri" w:cs="Calibri" w:eastAsia="Calibri" w:hAnsi="Calibri"/>
          <w:color w:val="1A1A1A"/>
          <w:sz w:val="20"/>
          <w:szCs w:val="20"/>
        </w:rPr>
        <w:t xml:space="preserve">le Parti hanno definito nell'Allegato A i servizi effettivamente compresi nel rapporto e nell'Allegato B gli indicatori per la lettura dei risultati;</w:t>
      </w:r>
    </w:p>
    <w:p>
      <w:pPr>
        <w:pStyle w:val="ListParagraph"/>
        <w:numPr>
          <w:ilvl w:val="0"/>
          <w:numId w:val="2"/>
        </w:numPr>
        <w:spacing w:after="80" w:line="276"/>
        <w:jc w:val="both"/>
      </w:pPr>
      <w:r>
        <w:rPr>
          <w:rFonts w:ascii="Calibri" w:cs="Calibri" w:eastAsia="Calibri" w:hAnsi="Calibri"/>
          <w:color w:val="1A1A1A"/>
          <w:sz w:val="20"/>
          <w:szCs w:val="20"/>
        </w:rPr>
        <w:t xml:space="preserve">le Parti riconoscono che i risultati delle attività dipendono anche da fattori non controllabili, fra cui il funzionamento di piattaforme e motori di ricerca gestiti da soggetti terzi, il comportamento del mercato e la competitività dell'offerta del Cliente;</w:t>
      </w:r>
    </w:p>
    <w:p>
      <w:pPr>
        <w:spacing w:after="120" w:line="276"/>
        <w:jc w:val="both"/>
      </w:pPr>
      <w:r>
        <w:rPr>
          <w:rFonts w:ascii="Calibri" w:cs="Calibri" w:eastAsia="Calibri" w:hAnsi="Calibri"/>
          <w:b w:val="false"/>
          <w:bCs w:val="false"/>
          <w:i w:val="false"/>
          <w:iCs w:val="false"/>
          <w:color w:val="1A1A1A"/>
          <w:sz w:val="20"/>
          <w:szCs w:val="20"/>
        </w:rPr>
        <w:t xml:space="preserve">tutto ciò premesso, che costituisce parte integrante del presente contratto, le Parti convengono quanto segue.</w:t>
      </w:r>
    </w:p>
    <w:p>
      <w:pPr>
        <w:spacing w:after="130" w:before="300"/>
      </w:pPr>
      <w:r>
        <w:rPr>
          <w:rFonts w:ascii="Calibri" w:cs="Calibri" w:eastAsia="Calibri" w:hAnsi="Calibri"/>
          <w:b/>
          <w:bCs/>
          <w:color w:val="1F3A5F"/>
          <w:sz w:val="22"/>
          <w:szCs w:val="22"/>
        </w:rPr>
        <w:t xml:space="preserve">Art. 1 — </w:t>
      </w:r>
      <w:r>
        <w:rPr>
          <w:rFonts w:ascii="Calibri" w:cs="Calibri" w:eastAsia="Calibri" w:hAnsi="Calibri"/>
          <w:b/>
          <w:bCs/>
          <w:color w:val="1F3A5F"/>
          <w:sz w:val="22"/>
          <w:szCs w:val="22"/>
        </w:rPr>
        <w:t xml:space="preserve">Definizioni</w:t>
      </w:r>
    </w:p>
    <w:p>
      <w:pPr>
        <w:spacing w:after="120" w:line="276"/>
        <w:jc w:val="both"/>
      </w:pPr>
      <w:r>
        <w:rPr>
          <w:rFonts w:ascii="Calibri" w:cs="Calibri" w:eastAsia="Calibri" w:hAnsi="Calibri"/>
          <w:b w:val="false"/>
          <w:bCs w:val="false"/>
          <w:i w:val="false"/>
          <w:iCs w:val="false"/>
          <w:color w:val="1A1A1A"/>
          <w:sz w:val="20"/>
          <w:szCs w:val="20"/>
        </w:rPr>
        <w:t xml:space="preserve">«Servizi»: le prestazioni indicate nell'Allegato A.</w:t>
      </w:r>
    </w:p>
    <w:p>
      <w:pPr>
        <w:spacing w:after="120" w:line="276"/>
        <w:jc w:val="both"/>
      </w:pPr>
      <w:r>
        <w:rPr>
          <w:rFonts w:ascii="Calibri" w:cs="Calibri" w:eastAsia="Calibri" w:hAnsi="Calibri"/>
          <w:b w:val="false"/>
          <w:bCs w:val="false"/>
          <w:i w:val="false"/>
          <w:iCs w:val="false"/>
          <w:color w:val="1A1A1A"/>
          <w:sz w:val="20"/>
          <w:szCs w:val="20"/>
        </w:rPr>
        <w:t xml:space="preserve">«Risorse digitali»: siti, profili, account pubblicitari, strumenti di misurazione, liste di contatti e ogni altro strumento del Cliente utilizzato per l'esecuzione del contratto.</w:t>
      </w:r>
    </w:p>
    <w:p>
      <w:pPr>
        <w:spacing w:after="120" w:line="276"/>
        <w:jc w:val="both"/>
      </w:pPr>
      <w:r>
        <w:rPr>
          <w:rFonts w:ascii="Calibri" w:cs="Calibri" w:eastAsia="Calibri" w:hAnsi="Calibri"/>
          <w:b w:val="false"/>
          <w:bCs w:val="false"/>
          <w:i w:val="false"/>
          <w:iCs w:val="false"/>
          <w:color w:val="1A1A1A"/>
          <w:sz w:val="20"/>
          <w:szCs w:val="20"/>
        </w:rPr>
        <w:t xml:space="preserve">«Budget di terzi»: le somme destinate all'acquisto di spazi pubblicitari, licenze o servizi esterni, distinte dal Corrispettivo.</w:t>
      </w:r>
    </w:p>
    <w:p>
      <w:pPr>
        <w:spacing w:after="120" w:line="276"/>
        <w:jc w:val="both"/>
      </w:pPr>
      <w:r>
        <w:rPr>
          <w:rFonts w:ascii="Calibri" w:cs="Calibri" w:eastAsia="Calibri" w:hAnsi="Calibri"/>
          <w:b w:val="false"/>
          <w:bCs w:val="false"/>
          <w:i w:val="false"/>
          <w:iCs w:val="false"/>
          <w:color w:val="1A1A1A"/>
          <w:sz w:val="20"/>
          <w:szCs w:val="20"/>
        </w:rPr>
        <w:t xml:space="preserve">«Materiali»: contenuti, elaborati e documenti prodotti dal Fornitore in esecuzione del contratto.</w:t>
      </w:r>
    </w:p>
    <w:p>
      <w:pPr>
        <w:spacing w:after="130" w:before="300"/>
      </w:pPr>
      <w:r>
        <w:rPr>
          <w:rFonts w:ascii="Calibri" w:cs="Calibri" w:eastAsia="Calibri" w:hAnsi="Calibri"/>
          <w:b/>
          <w:bCs/>
          <w:color w:val="1F3A5F"/>
          <w:sz w:val="22"/>
          <w:szCs w:val="22"/>
        </w:rPr>
        <w:t xml:space="preserve">Art. 2 — </w:t>
      </w:r>
      <w:r>
        <w:rPr>
          <w:rFonts w:ascii="Calibri" w:cs="Calibri" w:eastAsia="Calibri" w:hAnsi="Calibri"/>
          <w:b/>
          <w:bCs/>
          <w:color w:val="1F3A5F"/>
          <w:sz w:val="22"/>
          <w:szCs w:val="22"/>
        </w:rPr>
        <w:t xml:space="preserve">Oggetto e natura dell'obbligazione</w:t>
      </w:r>
    </w:p>
    <w:p>
      <w:pPr>
        <w:spacing w:after="120" w:line="276"/>
        <w:jc w:val="both"/>
      </w:pPr>
      <w:r>
        <w:rPr>
          <w:rFonts w:ascii="Calibri" w:cs="Calibri" w:eastAsia="Calibri" w:hAnsi="Calibri"/>
          <w:b w:val="false"/>
          <w:bCs w:val="false"/>
          <w:i w:val="false"/>
          <w:iCs w:val="false"/>
          <w:color w:val="1A1A1A"/>
          <w:sz w:val="20"/>
          <w:szCs w:val="20"/>
        </w:rPr>
        <w:t xml:space="preserve">2.1 Il Cliente affida al Fornitore l'esecuzione dei Servizi descritti nell'Allegato A.</w:t>
      </w:r>
    </w:p>
    <w:p>
      <w:pPr>
        <w:spacing w:after="120" w:line="276"/>
        <w:jc w:val="both"/>
      </w:pPr>
      <w:r>
        <w:rPr>
          <w:rFonts w:ascii="Calibri" w:cs="Calibri" w:eastAsia="Calibri" w:hAnsi="Calibri"/>
          <w:b w:val="false"/>
          <w:bCs w:val="false"/>
          <w:i w:val="false"/>
          <w:iCs w:val="false"/>
          <w:color w:val="1A1A1A"/>
          <w:sz w:val="20"/>
          <w:szCs w:val="20"/>
        </w:rPr>
        <w:t xml:space="preserve">2.2 Salvo che l'Allegato A qualifichi espressamente una prestazione come consegna di un'opera determinata, le obbligazioni del Fornitore sono obbligazioni di mezzi: il Fornitore si impegna a operare con la diligenza propria della sua qualificazione professionale, senza garantire il conseguimento di risultati commerciali determinati.</w:t>
      </w:r>
    </w:p>
    <w:p>
      <w:pPr>
        <w:spacing w:after="120" w:line="276"/>
        <w:jc w:val="both"/>
      </w:pPr>
      <w:r>
        <w:rPr>
          <w:rFonts w:ascii="Calibri" w:cs="Calibri" w:eastAsia="Calibri" w:hAnsi="Calibri"/>
          <w:b w:val="false"/>
          <w:bCs w:val="false"/>
          <w:i w:val="false"/>
          <w:iCs w:val="false"/>
          <w:color w:val="1A1A1A"/>
          <w:sz w:val="20"/>
          <w:szCs w:val="20"/>
        </w:rPr>
        <w:t xml:space="preserve">2.3 Il Fornitore opera in autonomia organizzativa e tecnica, senza vincolo di subordinazione, di orario e di luogo. Il presente contratto non costituisce rapporto di lavoro subordinato, agenzia, mandato con rappresentanza né associazione in partecipazione.</w:t>
      </w:r>
    </w:p>
    <w:p>
      <w:pPr>
        <w:spacing w:after="120" w:line="276"/>
        <w:jc w:val="both"/>
      </w:pPr>
      <w:r>
        <w:rPr>
          <w:rFonts w:ascii="Calibri" w:cs="Calibri" w:eastAsia="Calibri" w:hAnsi="Calibri"/>
          <w:b w:val="false"/>
          <w:bCs w:val="false"/>
          <w:i w:val="false"/>
          <w:iCs w:val="false"/>
          <w:color w:val="1A1A1A"/>
          <w:sz w:val="20"/>
          <w:szCs w:val="20"/>
        </w:rPr>
        <w:t xml:space="preserve">2.4 Il Fornitore può avvalersi di collaboratori e subfornitori di propria fiducia, restando unico responsabile nei confronti del Cliente per l'operato di questi ultimi.</w:t>
      </w:r>
    </w:p>
    <w:p>
      <w:pPr>
        <w:pBdr>
          <w:left w:val="single" w:color="C8D2DE" w:sz="12" w:space="10"/>
        </w:pBdr>
        <w:spacing w:after="200" w:before="100" w:line="260"/>
        <w:ind w:left="316"/>
        <w:jc w:val="left"/>
      </w:pPr>
      <w:r>
        <w:rPr>
          <w:rFonts w:ascii="Calibri" w:cs="Calibri" w:eastAsia="Calibri" w:hAnsi="Calibri"/>
          <w:i/>
          <w:iCs/>
          <w:color w:val="5A6472"/>
          <w:sz w:val="18"/>
          <w:szCs w:val="18"/>
        </w:rPr>
        <w:t xml:space="preserve">Nota per chi compila — Il comma 2.2 distingue le due nature che convivono in un rapporto di marketing digitale: la consegna di un'opera (un sito, un piano, un documento) è obbligazione di risultato; la gestione continuativa di canali e campagne è obbligazione di mezzi. Tenerle distinte nell'Allegato A evita di applicare all'una il metro dell'altra.</w:t>
      </w:r>
    </w:p>
    <w:p>
      <w:pPr>
        <w:spacing w:after="130" w:before="300"/>
      </w:pPr>
      <w:r>
        <w:rPr>
          <w:rFonts w:ascii="Calibri" w:cs="Calibri" w:eastAsia="Calibri" w:hAnsi="Calibri"/>
          <w:b/>
          <w:bCs/>
          <w:color w:val="1F3A5F"/>
          <w:sz w:val="22"/>
          <w:szCs w:val="22"/>
        </w:rPr>
        <w:t xml:space="preserve">Art. 3 — </w:t>
      </w:r>
      <w:r>
        <w:rPr>
          <w:rFonts w:ascii="Calibri" w:cs="Calibri" w:eastAsia="Calibri" w:hAnsi="Calibri"/>
          <w:b/>
          <w:bCs/>
          <w:color w:val="1F3A5F"/>
          <w:sz w:val="22"/>
          <w:szCs w:val="22"/>
        </w:rPr>
        <w:t xml:space="preserve">Perimetro dei Servizi</w:t>
      </w:r>
    </w:p>
    <w:p>
      <w:pPr>
        <w:spacing w:after="120" w:line="276"/>
        <w:jc w:val="both"/>
      </w:pPr>
      <w:r>
        <w:rPr>
          <w:rFonts w:ascii="Calibri" w:cs="Calibri" w:eastAsia="Calibri" w:hAnsi="Calibri"/>
          <w:b w:val="false"/>
          <w:bCs w:val="false"/>
          <w:i w:val="false"/>
          <w:iCs w:val="false"/>
          <w:color w:val="1A1A1A"/>
          <w:sz w:val="20"/>
          <w:szCs w:val="20"/>
        </w:rPr>
        <w:t xml:space="preserve">3.1 I Servizi compresi nel Corrispettivo sono esclusivamente quelli indicati nell'Allegato A, con le quantità e i limiti ivi specificati. Per ciascun ambito, l'Allegato distingue le attività comprese da quelle escluse.</w:t>
      </w:r>
    </w:p>
    <w:p>
      <w:pPr>
        <w:spacing w:after="120" w:line="276"/>
        <w:jc w:val="both"/>
      </w:pPr>
      <w:r>
        <w:rPr>
          <w:rFonts w:ascii="Calibri" w:cs="Calibri" w:eastAsia="Calibri" w:hAnsi="Calibri"/>
          <w:b w:val="false"/>
          <w:bCs w:val="false"/>
          <w:i w:val="false"/>
          <w:iCs w:val="false"/>
          <w:color w:val="1A1A1A"/>
          <w:sz w:val="20"/>
          <w:szCs w:val="20"/>
        </w:rPr>
        <w:t xml:space="preserve">3.2 Sono in ogni caso esclusi, salvo espressa indicazione contraria: la produzione di fotografie e video, le traduzioni, la redazione di testi legali, lo sviluppo di software e integrazioni, la fornitura di licenze e servizi di terzi, la formazione del personale del Cliente.</w:t>
      </w:r>
    </w:p>
    <w:p>
      <w:pPr>
        <w:spacing w:after="120" w:line="276"/>
        <w:jc w:val="both"/>
      </w:pPr>
      <w:r>
        <w:rPr>
          <w:rFonts w:ascii="Calibri" w:cs="Calibri" w:eastAsia="Calibri" w:hAnsi="Calibri"/>
          <w:b w:val="false"/>
          <w:bCs w:val="false"/>
          <w:i w:val="false"/>
          <w:iCs w:val="false"/>
          <w:color w:val="1A1A1A"/>
          <w:sz w:val="20"/>
          <w:szCs w:val="20"/>
        </w:rPr>
        <w:t xml:space="preserve">3.3 Le prestazioni eccedenti sono quotate separatamente e autorizzate per iscritto prima dell'esecuzione.</w:t>
      </w:r>
    </w:p>
    <w:p>
      <w:pPr>
        <w:spacing w:after="120" w:line="276"/>
        <w:jc w:val="both"/>
      </w:pPr>
      <w:r>
        <w:rPr>
          <w:rFonts w:ascii="Calibri" w:cs="Calibri" w:eastAsia="Calibri" w:hAnsi="Calibri"/>
          <w:b w:val="false"/>
          <w:bCs w:val="false"/>
          <w:i w:val="false"/>
          <w:iCs w:val="false"/>
          <w:color w:val="1A1A1A"/>
          <w:sz w:val="20"/>
          <w:szCs w:val="20"/>
        </w:rPr>
        <w:t xml:space="preserve">3.4 Le Parti si incontrano con cadenza [___] per verificare l'andamento delle attività ed eventualmente rivedere il perimetro, con modifica scritta dell'Allegato A.</w:t>
      </w:r>
    </w:p>
    <w:p>
      <w:pPr>
        <w:pBdr>
          <w:left w:val="single" w:color="C8D2DE" w:sz="12" w:space="10"/>
        </w:pBdr>
        <w:spacing w:after="200" w:before="100" w:line="260"/>
        <w:ind w:left="316"/>
        <w:jc w:val="left"/>
      </w:pPr>
      <w:r>
        <w:rPr>
          <w:rFonts w:ascii="Calibri" w:cs="Calibri" w:eastAsia="Calibri" w:hAnsi="Calibri"/>
          <w:i/>
          <w:iCs/>
          <w:color w:val="5A6472"/>
          <w:sz w:val="18"/>
          <w:szCs w:val="18"/>
        </w:rPr>
        <w:t xml:space="preserve">Nota per chi compila — Il comma 3.4 è il meccanismo che rende sostenibile un rapporto continuativo: senza un momento formale di revisione del perimetro, le attività si stratificano e il corrispettivo resta quello del primo mese.</w:t>
      </w:r>
    </w:p>
    <w:p>
      <w:pPr>
        <w:spacing w:after="130" w:before="300"/>
      </w:pPr>
      <w:r>
        <w:rPr>
          <w:rFonts w:ascii="Calibri" w:cs="Calibri" w:eastAsia="Calibri" w:hAnsi="Calibri"/>
          <w:b/>
          <w:bCs/>
          <w:color w:val="1F3A5F"/>
          <w:sz w:val="22"/>
          <w:szCs w:val="22"/>
        </w:rPr>
        <w:t xml:space="preserve">Art. 4 — </w:t>
      </w:r>
      <w:r>
        <w:rPr>
          <w:rFonts w:ascii="Calibri" w:cs="Calibri" w:eastAsia="Calibri" w:hAnsi="Calibri"/>
          <w:b/>
          <w:bCs/>
          <w:color w:val="1F3A5F"/>
          <w:sz w:val="22"/>
          <w:szCs w:val="22"/>
        </w:rPr>
        <w:t xml:space="preserve">Titolarità delle Risorse digitali</w:t>
      </w:r>
    </w:p>
    <w:p>
      <w:pPr>
        <w:spacing w:after="120" w:line="276"/>
        <w:jc w:val="both"/>
      </w:pPr>
      <w:r>
        <w:rPr>
          <w:rFonts w:ascii="Calibri" w:cs="Calibri" w:eastAsia="Calibri" w:hAnsi="Calibri"/>
          <w:b w:val="false"/>
          <w:bCs w:val="false"/>
          <w:i w:val="false"/>
          <w:iCs w:val="false"/>
          <w:color w:val="1A1A1A"/>
          <w:sz w:val="20"/>
          <w:szCs w:val="20"/>
        </w:rPr>
        <w:t xml:space="preserve">4.1 Tutte le Risorse digitali sono e restano intestate al Cliente. Il Fornitore vi accede come utente autorizzato con i permessi minimi necessari e non acquisisce alcun diritto su di esse, sui dati storici o sulle configurazioni.</w:t>
      </w:r>
    </w:p>
    <w:p>
      <w:pPr>
        <w:spacing w:after="120" w:line="276"/>
        <w:jc w:val="both"/>
      </w:pPr>
      <w:r>
        <w:rPr>
          <w:rFonts w:ascii="Calibri" w:cs="Calibri" w:eastAsia="Calibri" w:hAnsi="Calibri"/>
          <w:b w:val="false"/>
          <w:bCs w:val="false"/>
          <w:i w:val="false"/>
          <w:iCs w:val="false"/>
          <w:color w:val="1A1A1A"/>
          <w:sz w:val="20"/>
          <w:szCs w:val="20"/>
        </w:rPr>
        <w:t xml:space="preserve">4.2 È escluso che le attività del Cliente siano eseguite all'interno di account di titolarità del Fornitore o condivisi con altri clienti.</w:t>
      </w:r>
    </w:p>
    <w:p>
      <w:pPr>
        <w:spacing w:after="120" w:line="276"/>
        <w:jc w:val="both"/>
      </w:pPr>
      <w:r>
        <w:rPr>
          <w:rFonts w:ascii="Calibri" w:cs="Calibri" w:eastAsia="Calibri" w:hAnsi="Calibri"/>
          <w:b w:val="false"/>
          <w:bCs w:val="false"/>
          <w:i w:val="false"/>
          <w:iCs w:val="false"/>
          <w:color w:val="1A1A1A"/>
          <w:sz w:val="20"/>
          <w:szCs w:val="20"/>
        </w:rPr>
        <w:t xml:space="preserve">4.3 Qualora, per esigenze operative, una Risorsa digitale debba essere attivata dal Fornitore, questi ne trasferisce la titolarità al Cliente entro [n.] giorni dalla richiesta e comunque alla cessazione del rapporto.</w:t>
      </w:r>
    </w:p>
    <w:p>
      <w:pPr>
        <w:spacing w:after="120" w:line="276"/>
        <w:jc w:val="both"/>
      </w:pPr>
      <w:r>
        <w:rPr>
          <w:rFonts w:ascii="Calibri" w:cs="Calibri" w:eastAsia="Calibri" w:hAnsi="Calibri"/>
          <w:b w:val="false"/>
          <w:bCs w:val="false"/>
          <w:i w:val="false"/>
          <w:iCs w:val="false"/>
          <w:color w:val="1A1A1A"/>
          <w:sz w:val="20"/>
          <w:szCs w:val="20"/>
        </w:rPr>
        <w:t xml:space="preserve">4.4 Il Cliente ha accesso diretto e continuativo ai dati generati dalle attività e non è tenuto a richiederli al Fornitore.</w:t>
      </w:r>
    </w:p>
    <w:p>
      <w:pPr>
        <w:spacing w:after="120" w:line="276"/>
        <w:jc w:val="both"/>
      </w:pPr>
      <w:r>
        <w:rPr>
          <w:rFonts w:ascii="Calibri" w:cs="Calibri" w:eastAsia="Calibri" w:hAnsi="Calibri"/>
          <w:b w:val="false"/>
          <w:bCs w:val="false"/>
          <w:i w:val="false"/>
          <w:iCs w:val="false"/>
          <w:color w:val="1A1A1A"/>
          <w:sz w:val="20"/>
          <w:szCs w:val="20"/>
        </w:rPr>
        <w:t xml:space="preserve">4.5 Il Fornitore custodisce le credenziali ricevute con la diligenza dovuta, non le comunica a terzi estranei all'esecuzione del contratto e ne richiede la revoca alla cessazione del rapporto.</w:t>
      </w:r>
    </w:p>
    <w:p>
      <w:pPr>
        <w:spacing w:after="130" w:before="300"/>
      </w:pPr>
      <w:r>
        <w:rPr>
          <w:rFonts w:ascii="Calibri" w:cs="Calibri" w:eastAsia="Calibri" w:hAnsi="Calibri"/>
          <w:b/>
          <w:bCs/>
          <w:color w:val="1F3A5F"/>
          <w:sz w:val="22"/>
          <w:szCs w:val="22"/>
        </w:rPr>
        <w:t xml:space="preserve">Art. 5 — </w:t>
      </w:r>
      <w:r>
        <w:rPr>
          <w:rFonts w:ascii="Calibri" w:cs="Calibri" w:eastAsia="Calibri" w:hAnsi="Calibri"/>
          <w:b/>
          <w:bCs/>
          <w:color w:val="1F3A5F"/>
          <w:sz w:val="22"/>
          <w:szCs w:val="22"/>
        </w:rPr>
        <w:t xml:space="preserve">Cooperazione del Cliente</w:t>
      </w:r>
    </w:p>
    <w:p>
      <w:pPr>
        <w:spacing w:after="120" w:line="276"/>
        <w:jc w:val="both"/>
      </w:pPr>
      <w:r>
        <w:rPr>
          <w:rFonts w:ascii="Calibri" w:cs="Calibri" w:eastAsia="Calibri" w:hAnsi="Calibri"/>
          <w:b w:val="false"/>
          <w:bCs w:val="false"/>
          <w:i w:val="false"/>
          <w:iCs w:val="false"/>
          <w:color w:val="1A1A1A"/>
          <w:sz w:val="20"/>
          <w:szCs w:val="20"/>
        </w:rPr>
        <w:t xml:space="preserve">5.1 Il Cliente designa un referente unico legittimato ad approvare le attività e a impegnare l'organizzazione, indicato nell'Allegato A.</w:t>
      </w:r>
    </w:p>
    <w:p>
      <w:pPr>
        <w:spacing w:after="120" w:line="276"/>
        <w:jc w:val="both"/>
      </w:pPr>
      <w:r>
        <w:rPr>
          <w:rFonts w:ascii="Calibri" w:cs="Calibri" w:eastAsia="Calibri" w:hAnsi="Calibri"/>
          <w:b w:val="false"/>
          <w:bCs w:val="false"/>
          <w:i w:val="false"/>
          <w:iCs w:val="false"/>
          <w:color w:val="1A1A1A"/>
          <w:sz w:val="20"/>
          <w:szCs w:val="20"/>
        </w:rPr>
        <w:t xml:space="preserve">5.2 Il Cliente fornisce con tempestività informazioni, materiali, accessi e approvazioni necessari all'esecuzione dei Servizi, nei termini indicati nell'Allegato A.</w:t>
      </w:r>
    </w:p>
    <w:p>
      <w:pPr>
        <w:spacing w:after="120" w:line="276"/>
        <w:jc w:val="both"/>
      </w:pPr>
      <w:r>
        <w:rPr>
          <w:rFonts w:ascii="Calibri" w:cs="Calibri" w:eastAsia="Calibri" w:hAnsi="Calibri"/>
          <w:b w:val="false"/>
          <w:bCs w:val="false"/>
          <w:i w:val="false"/>
          <w:iCs w:val="false"/>
          <w:color w:val="1A1A1A"/>
          <w:sz w:val="20"/>
          <w:szCs w:val="20"/>
        </w:rPr>
        <w:t xml:space="preserve">5.3 Le approvazioni richieste si intendono concesse decorsi [n.] giorni lavorativi dalla richiesta scritta senza riscontro.</w:t>
      </w:r>
    </w:p>
    <w:p>
      <w:pPr>
        <w:spacing w:after="120" w:line="276"/>
        <w:jc w:val="both"/>
      </w:pPr>
      <w:r>
        <w:rPr>
          <w:rFonts w:ascii="Calibri" w:cs="Calibri" w:eastAsia="Calibri" w:hAnsi="Calibri"/>
          <w:b w:val="false"/>
          <w:bCs w:val="false"/>
          <w:i w:val="false"/>
          <w:iCs w:val="false"/>
          <w:color w:val="1A1A1A"/>
          <w:sz w:val="20"/>
          <w:szCs w:val="20"/>
        </w:rPr>
        <w:t xml:space="preserve">5.4 Il Fornitore non risponde della mancata produzione di effetti derivante da ritardi, omissioni o difformità nella cooperazione del Cliente, né da modifiche alle Risorse digitali effettuate senza preventiva comunicazione.</w:t>
      </w:r>
    </w:p>
    <w:p>
      <w:pPr>
        <w:spacing w:after="120" w:line="276"/>
        <w:jc w:val="both"/>
      </w:pPr>
      <w:r>
        <w:rPr>
          <w:rFonts w:ascii="Calibri" w:cs="Calibri" w:eastAsia="Calibri" w:hAnsi="Calibri"/>
          <w:b w:val="false"/>
          <w:bCs w:val="false"/>
          <w:i w:val="false"/>
          <w:iCs w:val="false"/>
          <w:color w:val="1A1A1A"/>
          <w:sz w:val="20"/>
          <w:szCs w:val="20"/>
        </w:rPr>
        <w:t xml:space="preserve">5.5 Qualora l'inerzia del Cliente renda impossibile la prosecuzione utile delle attività per oltre [n.] giorni, il Fornitore può sospendere l'esecuzione previa comunicazione scritta, restando fermo il diritto al Corrispettivo maturato.</w:t>
      </w:r>
    </w:p>
    <w:p>
      <w:pPr>
        <w:spacing w:after="130" w:before="300"/>
      </w:pPr>
      <w:r>
        <w:rPr>
          <w:rFonts w:ascii="Calibri" w:cs="Calibri" w:eastAsia="Calibri" w:hAnsi="Calibri"/>
          <w:b/>
          <w:bCs/>
          <w:color w:val="1F3A5F"/>
          <w:sz w:val="22"/>
          <w:szCs w:val="22"/>
        </w:rPr>
        <w:t xml:space="preserve">Art. 6 — </w:t>
      </w:r>
      <w:r>
        <w:rPr>
          <w:rFonts w:ascii="Calibri" w:cs="Calibri" w:eastAsia="Calibri" w:hAnsi="Calibri"/>
          <w:b/>
          <w:bCs/>
          <w:color w:val="1F3A5F"/>
          <w:sz w:val="22"/>
          <w:szCs w:val="22"/>
        </w:rPr>
        <w:t xml:space="preserve">Budget di terzi</w:t>
      </w:r>
    </w:p>
    <w:p>
      <w:pPr>
        <w:spacing w:after="120" w:line="276"/>
        <w:jc w:val="both"/>
      </w:pPr>
      <w:r>
        <w:rPr>
          <w:rFonts w:ascii="Calibri" w:cs="Calibri" w:eastAsia="Calibri" w:hAnsi="Calibri"/>
          <w:b w:val="false"/>
          <w:bCs w:val="false"/>
          <w:i w:val="false"/>
          <w:iCs w:val="false"/>
          <w:color w:val="1A1A1A"/>
          <w:sz w:val="20"/>
          <w:szCs w:val="20"/>
        </w:rPr>
        <w:t xml:space="preserve">6.1 Il Budget di terzi è a carico esclusivo del Cliente e tenuto distinto dal Corrispettivo. Comprende, a titolo esemplificativo: spazi pubblicitari, licenze software, abbonamenti a strumenti, banche di immagini, servizi di invio.</w:t>
      </w:r>
    </w:p>
    <w:p>
      <w:pPr>
        <w:spacing w:after="120" w:line="276"/>
        <w:jc w:val="both"/>
      </w:pPr>
      <w:r>
        <w:rPr>
          <w:rFonts w:ascii="Calibri" w:cs="Calibri" w:eastAsia="Calibri" w:hAnsi="Calibri"/>
          <w:b w:val="false"/>
          <w:bCs w:val="false"/>
          <w:i w:val="false"/>
          <w:iCs w:val="false"/>
          <w:color w:val="1A1A1A"/>
          <w:sz w:val="20"/>
          <w:szCs w:val="20"/>
        </w:rPr>
        <w:t xml:space="preserve">6.2 I metodi di pagamento presso i fornitori terzi sono intestati al Cliente. Il Fornitore non è tenuto ad anticipare somme.</w:t>
      </w:r>
    </w:p>
    <w:p>
      <w:pPr>
        <w:spacing w:after="120" w:line="276"/>
        <w:jc w:val="both"/>
      </w:pPr>
      <w:r>
        <w:rPr>
          <w:rFonts w:ascii="Calibri" w:cs="Calibri" w:eastAsia="Calibri" w:hAnsi="Calibri"/>
          <w:b w:val="false"/>
          <w:bCs w:val="false"/>
          <w:i w:val="false"/>
          <w:iCs w:val="false"/>
          <w:color w:val="1A1A1A"/>
          <w:sz w:val="20"/>
          <w:szCs w:val="20"/>
        </w:rPr>
        <w:t xml:space="preserve">6.3 Qualora le Parti concordino anticipazioni da parte del Fornitore, queste sono rimborsate entro [n.] giorni dietro documentazione, non costituiscono base di calcolo del Corrispettivo e non superano l'esposizione massima di euro [___].</w:t>
      </w:r>
    </w:p>
    <w:p>
      <w:pPr>
        <w:spacing w:after="120" w:line="276"/>
        <w:jc w:val="both"/>
      </w:pPr>
      <w:r>
        <w:rPr>
          <w:rFonts w:ascii="Calibri" w:cs="Calibri" w:eastAsia="Calibri" w:hAnsi="Calibri"/>
          <w:b w:val="false"/>
          <w:bCs w:val="false"/>
          <w:i w:val="false"/>
          <w:iCs w:val="false"/>
          <w:color w:val="1A1A1A"/>
          <w:sz w:val="20"/>
          <w:szCs w:val="20"/>
        </w:rPr>
        <w:t xml:space="preserve">6.4 Il Fornitore comunica al Cliente le condizioni economiche praticate dai fornitori terzi e dichiara l'eventuale percezione di provvigioni, sconti o benefici da parte di questi.</w:t>
      </w:r>
    </w:p>
    <w:p>
      <w:pPr>
        <w:pBdr>
          <w:left w:val="single" w:color="C8D2DE" w:sz="12" w:space="10"/>
        </w:pBdr>
        <w:spacing w:after="200" w:before="100" w:line="260"/>
        <w:ind w:left="316"/>
        <w:jc w:val="left"/>
      </w:pPr>
      <w:r>
        <w:rPr>
          <w:rFonts w:ascii="Calibri" w:cs="Calibri" w:eastAsia="Calibri" w:hAnsi="Calibri"/>
          <w:i/>
          <w:iCs/>
          <w:color w:val="5A6472"/>
          <w:sz w:val="18"/>
          <w:szCs w:val="18"/>
        </w:rPr>
        <w:t xml:space="preserve">Nota per chi compila — Il comma 6.4 riguarda un tema di trasparenza raramente affrontato: alcune agenzie ricevono provvigioni da fornitori che raccomandano ai clienti. Non è di per sé illecito, ma dichiararlo cambia il modo in cui il cliente valuta la raccomandazione.</w:t>
      </w:r>
    </w:p>
    <w:p>
      <w:pPr>
        <w:spacing w:after="130" w:before="300"/>
      </w:pPr>
      <w:r>
        <w:rPr>
          <w:rFonts w:ascii="Calibri" w:cs="Calibri" w:eastAsia="Calibri" w:hAnsi="Calibri"/>
          <w:b/>
          <w:bCs/>
          <w:color w:val="1F3A5F"/>
          <w:sz w:val="22"/>
          <w:szCs w:val="22"/>
        </w:rPr>
        <w:t xml:space="preserve">Art. 7 — </w:t>
      </w:r>
      <w:r>
        <w:rPr>
          <w:rFonts w:ascii="Calibri" w:cs="Calibri" w:eastAsia="Calibri" w:hAnsi="Calibri"/>
          <w:b/>
          <w:bCs/>
          <w:color w:val="1F3A5F"/>
          <w:sz w:val="22"/>
          <w:szCs w:val="22"/>
        </w:rPr>
        <w:t xml:space="preserve">Misurazione e rendicontazione</w:t>
      </w:r>
    </w:p>
    <w:p>
      <w:pPr>
        <w:spacing w:after="120" w:line="276"/>
        <w:jc w:val="both"/>
      </w:pPr>
      <w:r>
        <w:rPr>
          <w:rFonts w:ascii="Calibri" w:cs="Calibri" w:eastAsia="Calibri" w:hAnsi="Calibri"/>
          <w:b w:val="false"/>
          <w:bCs w:val="false"/>
          <w:i w:val="false"/>
          <w:iCs w:val="false"/>
          <w:color w:val="1A1A1A"/>
          <w:sz w:val="20"/>
          <w:szCs w:val="20"/>
        </w:rPr>
        <w:t xml:space="preserve">7.1 Le Parti individuano nell'Allegato B gli indicatori di riferimento e, per ciascuno, la fonte del dato che fa fede in caso di discordanza.</w:t>
      </w:r>
    </w:p>
    <w:p>
      <w:pPr>
        <w:spacing w:after="120" w:line="276"/>
        <w:jc w:val="both"/>
      </w:pPr>
      <w:r>
        <w:rPr>
          <w:rFonts w:ascii="Calibri" w:cs="Calibri" w:eastAsia="Calibri" w:hAnsi="Calibri"/>
          <w:b w:val="false"/>
          <w:bCs w:val="false"/>
          <w:i w:val="false"/>
          <w:iCs w:val="false"/>
          <w:color w:val="1A1A1A"/>
          <w:sz w:val="20"/>
          <w:szCs w:val="20"/>
        </w:rPr>
        <w:t xml:space="preserve">7.2 Il Fornitore trasmette con cadenza [mensile / trimestrale] un documento contenente: attività svolte, elaborati consegnati, andamento degli indicatori, attività previste per il periodo successivo.</w:t>
      </w:r>
    </w:p>
    <w:p>
      <w:pPr>
        <w:spacing w:after="120" w:line="276"/>
        <w:jc w:val="both"/>
      </w:pPr>
      <w:r>
        <w:rPr>
          <w:rFonts w:ascii="Calibri" w:cs="Calibri" w:eastAsia="Calibri" w:hAnsi="Calibri"/>
          <w:b w:val="false"/>
          <w:bCs w:val="false"/>
          <w:i w:val="false"/>
          <w:iCs w:val="false"/>
          <w:color w:val="1A1A1A"/>
          <w:sz w:val="20"/>
          <w:szCs w:val="20"/>
        </w:rPr>
        <w:t xml:space="preserve">7.3 Le Parti danno atto che i dati riportati dalle diverse piattaforme sono calcolati secondo criteri di attribuzione propri e possono non coincidere fra loro né con i dati dei sistemi gestionali del Cliente.</w:t>
      </w:r>
    </w:p>
    <w:p>
      <w:pPr>
        <w:spacing w:after="120" w:line="276"/>
        <w:jc w:val="both"/>
      </w:pPr>
      <w:r>
        <w:rPr>
          <w:rFonts w:ascii="Calibri" w:cs="Calibri" w:eastAsia="Calibri" w:hAnsi="Calibri"/>
          <w:b w:val="false"/>
          <w:bCs w:val="false"/>
          <w:i w:val="false"/>
          <w:iCs w:val="false"/>
          <w:color w:val="1A1A1A"/>
          <w:sz w:val="20"/>
          <w:szCs w:val="20"/>
        </w:rPr>
        <w:t xml:space="preserve">7.4 Gli indicatori dell'Allegato B costituiscono riferimenti condivisi per la valutazione dell'andamento e non obbligazioni contrattuali, salvo diversa e specifica qualificazione.</w:t>
      </w:r>
    </w:p>
    <w:p>
      <w:pPr>
        <w:spacing w:after="130" w:before="300"/>
      </w:pPr>
      <w:r>
        <w:rPr>
          <w:rFonts w:ascii="Calibri" w:cs="Calibri" w:eastAsia="Calibri" w:hAnsi="Calibri"/>
          <w:b/>
          <w:bCs/>
          <w:color w:val="1F3A5F"/>
          <w:sz w:val="22"/>
          <w:szCs w:val="22"/>
        </w:rPr>
        <w:t xml:space="preserve">Art. 8 — </w:t>
      </w:r>
      <w:r>
        <w:rPr>
          <w:rFonts w:ascii="Calibri" w:cs="Calibri" w:eastAsia="Calibri" w:hAnsi="Calibri"/>
          <w:b/>
          <w:bCs/>
          <w:color w:val="1F3A5F"/>
          <w:sz w:val="22"/>
          <w:szCs w:val="22"/>
        </w:rPr>
        <w:t xml:space="preserve">Corrispettivo e pagamento</w:t>
      </w:r>
    </w:p>
    <w:p>
      <w:pPr>
        <w:spacing w:after="120" w:line="276"/>
        <w:jc w:val="both"/>
      </w:pPr>
      <w:r>
        <w:rPr>
          <w:rFonts w:ascii="Calibri" w:cs="Calibri" w:eastAsia="Calibri" w:hAnsi="Calibri"/>
          <w:b w:val="false"/>
          <w:bCs w:val="false"/>
          <w:i w:val="false"/>
          <w:iCs w:val="false"/>
          <w:color w:val="1A1A1A"/>
          <w:sz w:val="20"/>
          <w:szCs w:val="20"/>
        </w:rPr>
        <w:t xml:space="preserve">8.1 Il Corrispettivo è pattuito in euro [___] ([in lettere]) al [mese / trimestre], oltre IVA e oneri di legge se dovuti.</w:t>
      </w:r>
    </w:p>
    <w:p>
      <w:pPr>
        <w:spacing w:after="120" w:line="276"/>
        <w:jc w:val="both"/>
      </w:pPr>
      <w:r>
        <w:rPr>
          <w:rFonts w:ascii="Calibri" w:cs="Calibri" w:eastAsia="Calibri" w:hAnsi="Calibri"/>
          <w:b w:val="false"/>
          <w:bCs w:val="false"/>
          <w:i w:val="false"/>
          <w:iCs w:val="false"/>
          <w:color w:val="1A1A1A"/>
          <w:sz w:val="20"/>
          <w:szCs w:val="20"/>
        </w:rPr>
        <w:t xml:space="preserve">8.2 Il Corrispettivo remunera la disponibilità delle competenze e il tempo professionale dedicato ai Servizi, ed è dovuto per intero anche nei periodi di ridotta attività del Cliente, salvo sospensione concordata per iscritto con [n.] giorni di preavviso.</w:t>
      </w:r>
    </w:p>
    <w:p>
      <w:pPr>
        <w:spacing w:after="120" w:line="276"/>
        <w:jc w:val="both"/>
      </w:pPr>
      <w:r>
        <w:rPr>
          <w:rFonts w:ascii="Calibri" w:cs="Calibri" w:eastAsia="Calibri" w:hAnsi="Calibri"/>
          <w:b w:val="false"/>
          <w:bCs w:val="false"/>
          <w:i w:val="false"/>
          <w:iCs w:val="false"/>
          <w:color w:val="1A1A1A"/>
          <w:sz w:val="20"/>
          <w:szCs w:val="20"/>
        </w:rPr>
        <w:t xml:space="preserve">8.3 Le attività eccedenti il perimetro sono compensate a [tariffa oraria / giornaliera] di euro [___], previa autorizzazione scritta.</w:t>
      </w:r>
    </w:p>
    <w:p>
      <w:pPr>
        <w:spacing w:after="120" w:line="276"/>
        <w:jc w:val="both"/>
      </w:pPr>
      <w:r>
        <w:rPr>
          <w:rFonts w:ascii="Calibri" w:cs="Calibri" w:eastAsia="Calibri" w:hAnsi="Calibri"/>
          <w:b w:val="false"/>
          <w:bCs w:val="false"/>
          <w:i w:val="false"/>
          <w:iCs w:val="false"/>
          <w:color w:val="1A1A1A"/>
          <w:sz w:val="20"/>
          <w:szCs w:val="20"/>
        </w:rPr>
        <w:t xml:space="preserve">8.4 Il Corrispettivo è adeguato annualmente nella misura di [___], con comunicazione scritta di almeno [n.] giorni.</w:t>
      </w:r>
    </w:p>
    <w:p>
      <w:pPr>
        <w:spacing w:after="120" w:line="276"/>
        <w:jc w:val="both"/>
      </w:pPr>
      <w:r>
        <w:rPr>
          <w:rFonts w:ascii="Calibri" w:cs="Calibri" w:eastAsia="Calibri" w:hAnsi="Calibri"/>
          <w:b w:val="false"/>
          <w:bCs w:val="false"/>
          <w:i w:val="false"/>
          <w:iCs w:val="false"/>
          <w:color w:val="1A1A1A"/>
          <w:sz w:val="20"/>
          <w:szCs w:val="20"/>
        </w:rPr>
        <w:t xml:space="preserve">8.5 Il pagamento avviene entro [n.] giorni dalla data della fattura mediante bonifico su IBAN [___].</w:t>
      </w:r>
    </w:p>
    <w:p>
      <w:pPr>
        <w:spacing w:after="120" w:line="276"/>
        <w:jc w:val="both"/>
      </w:pPr>
      <w:r>
        <w:rPr>
          <w:rFonts w:ascii="Calibri" w:cs="Calibri" w:eastAsia="Calibri" w:hAnsi="Calibri"/>
          <w:b w:val="false"/>
          <w:bCs w:val="false"/>
          <w:i w:val="false"/>
          <w:iCs w:val="false"/>
          <w:color w:val="1A1A1A"/>
          <w:sz w:val="20"/>
          <w:szCs w:val="20"/>
        </w:rPr>
        <w:t xml:space="preserve">8.6 In caso di ritardo superiore a [n.] giorni, il Fornitore può sospendere le attività previa comunicazione scritta, fermo il diritto agli interessi di legge.</w:t>
      </w:r>
    </w:p>
    <w:p>
      <w:pPr>
        <w:spacing w:after="130" w:before="300"/>
      </w:pPr>
      <w:r>
        <w:rPr>
          <w:rFonts w:ascii="Calibri" w:cs="Calibri" w:eastAsia="Calibri" w:hAnsi="Calibri"/>
          <w:b/>
          <w:bCs/>
          <w:color w:val="1F3A5F"/>
          <w:sz w:val="22"/>
          <w:szCs w:val="22"/>
        </w:rPr>
        <w:t xml:space="preserve">Art. 9 — </w:t>
      </w:r>
      <w:r>
        <w:rPr>
          <w:rFonts w:ascii="Calibri" w:cs="Calibri" w:eastAsia="Calibri" w:hAnsi="Calibri"/>
          <w:b/>
          <w:bCs/>
          <w:color w:val="1F3A5F"/>
          <w:sz w:val="22"/>
          <w:szCs w:val="22"/>
        </w:rPr>
        <w:t xml:space="preserve">Proprietà intellettuale sui Materiali</w:t>
      </w:r>
    </w:p>
    <w:p>
      <w:pPr>
        <w:spacing w:after="120" w:line="276"/>
        <w:jc w:val="both"/>
      </w:pPr>
      <w:r>
        <w:rPr>
          <w:rFonts w:ascii="Calibri" w:cs="Calibri" w:eastAsia="Calibri" w:hAnsi="Calibri"/>
          <w:b w:val="false"/>
          <w:bCs w:val="false"/>
          <w:i w:val="false"/>
          <w:iCs w:val="false"/>
          <w:color w:val="1A1A1A"/>
          <w:sz w:val="20"/>
          <w:szCs w:val="20"/>
        </w:rPr>
        <w:t xml:space="preserve">9.1 A saldo integrale del Corrispettivo relativo al periodo di riferimento, il Cliente acquisisce i diritti di utilizzazione economica sui Materiali realizzati su misura per lui.</w:t>
      </w:r>
    </w:p>
    <w:p>
      <w:pPr>
        <w:spacing w:after="120" w:line="276"/>
        <w:jc w:val="both"/>
      </w:pPr>
      <w:r>
        <w:rPr>
          <w:rFonts w:ascii="Calibri" w:cs="Calibri" w:eastAsia="Calibri" w:hAnsi="Calibri"/>
          <w:b w:val="false"/>
          <w:bCs w:val="false"/>
          <w:i w:val="false"/>
          <w:iCs w:val="false"/>
          <w:color w:val="1A1A1A"/>
          <w:sz w:val="20"/>
          <w:szCs w:val="20"/>
        </w:rPr>
        <w:t xml:space="preserve">9.2 Restano di titolarità del Fornitore: metodologie, modelli di documento, strumenti, procedure e know-how preesistenti o sviluppati in via generale, sui quali il Cliente acquisisce una licenza d'uso non esclusiva limitata alle proprie attività.</w:t>
      </w:r>
    </w:p>
    <w:p>
      <w:pPr>
        <w:spacing w:after="120" w:line="276"/>
        <w:jc w:val="both"/>
      </w:pPr>
      <w:r>
        <w:rPr>
          <w:rFonts w:ascii="Calibri" w:cs="Calibri" w:eastAsia="Calibri" w:hAnsi="Calibri"/>
          <w:b w:val="false"/>
          <w:bCs w:val="false"/>
          <w:i w:val="false"/>
          <w:iCs w:val="false"/>
          <w:color w:val="1A1A1A"/>
          <w:sz w:val="20"/>
          <w:szCs w:val="20"/>
        </w:rPr>
        <w:t xml:space="preserve">9.3 I file sorgente e i documenti editabili sono consegnati [alla consegna / alla cessazione del contratto / dietro corrispettivo aggiuntivo di euro ___].</w:t>
      </w:r>
    </w:p>
    <w:p>
      <w:pPr>
        <w:spacing w:after="120" w:line="276"/>
        <w:jc w:val="both"/>
      </w:pPr>
      <w:r>
        <w:rPr>
          <w:rFonts w:ascii="Calibri" w:cs="Calibri" w:eastAsia="Calibri" w:hAnsi="Calibri"/>
          <w:b w:val="false"/>
          <w:bCs w:val="false"/>
          <w:i w:val="false"/>
          <w:iCs w:val="false"/>
          <w:color w:val="1A1A1A"/>
          <w:sz w:val="20"/>
          <w:szCs w:val="20"/>
        </w:rPr>
        <w:t xml:space="preserve">9.4 Il Cliente garantisce la liceità dei materiali forniti al Fornitore e ne risponde in via esclusiva.</w:t>
      </w:r>
    </w:p>
    <w:p>
      <w:pPr>
        <w:spacing w:after="120" w:line="276"/>
        <w:jc w:val="both"/>
      </w:pPr>
      <w:r>
        <w:rPr>
          <w:rFonts w:ascii="Calibri" w:cs="Calibri" w:eastAsia="Calibri" w:hAnsi="Calibri"/>
          <w:b w:val="false"/>
          <w:bCs w:val="false"/>
          <w:i w:val="false"/>
          <w:iCs w:val="false"/>
          <w:color w:val="1A1A1A"/>
          <w:sz w:val="20"/>
          <w:szCs w:val="20"/>
        </w:rPr>
        <w:t xml:space="preserve">9.5 Il Fornitore può citare il Cliente fra le proprie referenze e descrivere il lavoro svolto in forma [nominativa / anonimizzata], previo consenso scritto.</w:t>
      </w:r>
    </w:p>
    <w:p>
      <w:pPr>
        <w:spacing w:after="130" w:before="300"/>
      </w:pPr>
      <w:r>
        <w:rPr>
          <w:rFonts w:ascii="Calibri" w:cs="Calibri" w:eastAsia="Calibri" w:hAnsi="Calibri"/>
          <w:b/>
          <w:bCs/>
          <w:color w:val="1F3A5F"/>
          <w:sz w:val="22"/>
          <w:szCs w:val="22"/>
        </w:rPr>
        <w:t xml:space="preserve">Art. 10 — </w:t>
      </w:r>
      <w:r>
        <w:rPr>
          <w:rFonts w:ascii="Calibri" w:cs="Calibri" w:eastAsia="Calibri" w:hAnsi="Calibri"/>
          <w:b/>
          <w:bCs/>
          <w:color w:val="1F3A5F"/>
          <w:sz w:val="22"/>
          <w:szCs w:val="22"/>
        </w:rPr>
        <w:t xml:space="preserve">Riservatezza e non sollecitazione</w:t>
      </w:r>
    </w:p>
    <w:p>
      <w:pPr>
        <w:spacing w:after="120" w:line="276"/>
        <w:jc w:val="both"/>
      </w:pPr>
      <w:r>
        <w:rPr>
          <w:rFonts w:ascii="Calibri" w:cs="Calibri" w:eastAsia="Calibri" w:hAnsi="Calibri"/>
          <w:b w:val="false"/>
          <w:bCs w:val="false"/>
          <w:i w:val="false"/>
          <w:iCs w:val="false"/>
          <w:color w:val="1A1A1A"/>
          <w:sz w:val="20"/>
          <w:szCs w:val="20"/>
        </w:rPr>
        <w:t xml:space="preserve">10.1 Le Parti mantengono riservate le informazioni commerciali, tecniche e strategiche acquisite in ragione del contratto, per la durata dello stesso e per [n.] anni successivi.</w:t>
      </w:r>
    </w:p>
    <w:p>
      <w:pPr>
        <w:spacing w:after="120" w:line="276"/>
        <w:jc w:val="both"/>
      </w:pPr>
      <w:r>
        <w:rPr>
          <w:rFonts w:ascii="Calibri" w:cs="Calibri" w:eastAsia="Calibri" w:hAnsi="Calibri"/>
          <w:b w:val="false"/>
          <w:bCs w:val="false"/>
          <w:i w:val="false"/>
          <w:iCs w:val="false"/>
          <w:color w:val="1A1A1A"/>
          <w:sz w:val="20"/>
          <w:szCs w:val="20"/>
        </w:rPr>
        <w:t xml:space="preserve">10.2 Sono escluse le informazioni già pubbliche, quelle acquisite legittimamente da altra fonte e quelle di cui sia imposta la divulgazione per legge.</w:t>
      </w:r>
    </w:p>
    <w:p>
      <w:pPr>
        <w:spacing w:after="120" w:line="276"/>
        <w:jc w:val="both"/>
      </w:pPr>
      <w:r>
        <w:rPr>
          <w:rFonts w:ascii="Calibri" w:cs="Calibri" w:eastAsia="Calibri" w:hAnsi="Calibri"/>
          <w:b w:val="false"/>
          <w:bCs w:val="false"/>
          <w:i w:val="false"/>
          <w:iCs w:val="false"/>
          <w:color w:val="1A1A1A"/>
          <w:sz w:val="20"/>
          <w:szCs w:val="20"/>
        </w:rPr>
        <w:t xml:space="preserve">10.3 Per la durata del contratto e per [n.] mesi successivi, ciascuna Parte si astiene dal sollecitare l'assunzione o la collaborazione diretta dei collaboratori dell'altra impiegati nel rapporto, salvo consenso scritto.</w:t>
      </w:r>
    </w:p>
    <w:p>
      <w:pPr>
        <w:spacing w:after="130" w:before="300"/>
      </w:pPr>
      <w:r>
        <w:rPr>
          <w:rFonts w:ascii="Calibri" w:cs="Calibri" w:eastAsia="Calibri" w:hAnsi="Calibri"/>
          <w:b/>
          <w:bCs/>
          <w:color w:val="1F3A5F"/>
          <w:sz w:val="22"/>
          <w:szCs w:val="22"/>
        </w:rPr>
        <w:t xml:space="preserve">Art. 11 — </w:t>
      </w:r>
      <w:r>
        <w:rPr>
          <w:rFonts w:ascii="Calibri" w:cs="Calibri" w:eastAsia="Calibri" w:hAnsi="Calibri"/>
          <w:b/>
          <w:bCs/>
          <w:color w:val="1F3A5F"/>
          <w:sz w:val="22"/>
          <w:szCs w:val="22"/>
        </w:rPr>
        <w:t xml:space="preserve">Protezione dei dati personali</w:t>
      </w:r>
    </w:p>
    <w:p>
      <w:pPr>
        <w:spacing w:after="120" w:line="276"/>
        <w:jc w:val="both"/>
      </w:pPr>
      <w:r>
        <w:rPr>
          <w:rFonts w:ascii="Calibri" w:cs="Calibri" w:eastAsia="Calibri" w:hAnsi="Calibri"/>
          <w:b w:val="false"/>
          <w:bCs w:val="false"/>
          <w:i w:val="false"/>
          <w:iCs w:val="false"/>
          <w:color w:val="1A1A1A"/>
          <w:sz w:val="20"/>
          <w:szCs w:val="20"/>
        </w:rPr>
        <w:t xml:space="preserve">11.1 Qualora l'esecuzione dei Servizi comporti il trattamento di dati personali per conto del Cliente, quest'ultimo designa il Fornitore responsabile del trattamento mediante atto separato conforme all'articolo 28 del Regolamento (UE) 2016/679, che costituisce parte integrante del presente contratto.</w:t>
      </w:r>
    </w:p>
    <w:p>
      <w:pPr>
        <w:spacing w:after="120" w:line="276"/>
        <w:jc w:val="both"/>
      </w:pPr>
      <w:r>
        <w:rPr>
          <w:rFonts w:ascii="Calibri" w:cs="Calibri" w:eastAsia="Calibri" w:hAnsi="Calibri"/>
          <w:b w:val="false"/>
          <w:bCs w:val="false"/>
          <w:i w:val="false"/>
          <w:iCs w:val="false"/>
          <w:color w:val="1A1A1A"/>
          <w:sz w:val="20"/>
          <w:szCs w:val="20"/>
        </w:rPr>
        <w:t xml:space="preserve">11.2 Il Fornitore tratta i dati esclusivamente per le finalità di esecuzione del contratto, adotta misure di sicurezza adeguate e non ricorre a sub-responsabili senza autorizzazione scritta del Cliente.</w:t>
      </w:r>
    </w:p>
    <w:p>
      <w:pPr>
        <w:spacing w:after="120" w:line="276"/>
        <w:jc w:val="both"/>
      </w:pPr>
      <w:r>
        <w:rPr>
          <w:rFonts w:ascii="Calibri" w:cs="Calibri" w:eastAsia="Calibri" w:hAnsi="Calibri"/>
          <w:b w:val="false"/>
          <w:bCs w:val="false"/>
          <w:i w:val="false"/>
          <w:iCs w:val="false"/>
          <w:color w:val="1A1A1A"/>
          <w:sz w:val="20"/>
          <w:szCs w:val="20"/>
        </w:rPr>
        <w:t xml:space="preserve">11.3 Il Cliente resta titolare del trattamento ed è responsabile della base giuridica, dell'informativa agli interessati e della gestione del consenso.</w:t>
      </w:r>
    </w:p>
    <w:p>
      <w:pPr>
        <w:spacing w:after="120" w:line="276"/>
        <w:jc w:val="both"/>
      </w:pPr>
      <w:r>
        <w:rPr>
          <w:rFonts w:ascii="Calibri" w:cs="Calibri" w:eastAsia="Calibri" w:hAnsi="Calibri"/>
          <w:b w:val="false"/>
          <w:bCs w:val="false"/>
          <w:i w:val="false"/>
          <w:iCs w:val="false"/>
          <w:color w:val="1A1A1A"/>
          <w:sz w:val="20"/>
          <w:szCs w:val="20"/>
        </w:rPr>
        <w:t xml:space="preserve">11.4 Il Fornitore non utilizza per finalità proprie i dati dei contatti del Cliente acquisiti nell'esecuzione del contratto.</w:t>
      </w:r>
    </w:p>
    <w:p>
      <w:pPr>
        <w:spacing w:after="130" w:before="300"/>
      </w:pPr>
      <w:r>
        <w:rPr>
          <w:rFonts w:ascii="Calibri" w:cs="Calibri" w:eastAsia="Calibri" w:hAnsi="Calibri"/>
          <w:b/>
          <w:bCs/>
          <w:color w:val="1F3A5F"/>
          <w:sz w:val="22"/>
          <w:szCs w:val="22"/>
        </w:rPr>
        <w:t xml:space="preserve">Art. 12 — </w:t>
      </w:r>
      <w:r>
        <w:rPr>
          <w:rFonts w:ascii="Calibri" w:cs="Calibri" w:eastAsia="Calibri" w:hAnsi="Calibri"/>
          <w:b/>
          <w:bCs/>
          <w:color w:val="1F3A5F"/>
          <w:sz w:val="22"/>
          <w:szCs w:val="22"/>
        </w:rPr>
        <w:t xml:space="preserve">Impiego di sistemi di intelligenza artificiale</w:t>
      </w:r>
    </w:p>
    <w:p>
      <w:pPr>
        <w:spacing w:after="120" w:line="276"/>
        <w:jc w:val="both"/>
      </w:pPr>
      <w:r>
        <w:rPr>
          <w:rFonts w:ascii="Calibri" w:cs="Calibri" w:eastAsia="Calibri" w:hAnsi="Calibri"/>
          <w:b w:val="false"/>
          <w:bCs w:val="false"/>
          <w:i w:val="false"/>
          <w:iCs w:val="false"/>
          <w:color w:val="1A1A1A"/>
          <w:sz w:val="20"/>
          <w:szCs w:val="20"/>
        </w:rPr>
        <w:t xml:space="preserve">12.1 L'impiego di sistemi di intelligenza artificiale nell'esecuzione dei Servizi è [ammesso con revisione umana documentata / escluso].</w:t>
      </w:r>
    </w:p>
    <w:p>
      <w:pPr>
        <w:spacing w:after="120" w:line="276"/>
        <w:jc w:val="both"/>
      </w:pPr>
      <w:r>
        <w:rPr>
          <w:rFonts w:ascii="Calibri" w:cs="Calibri" w:eastAsia="Calibri" w:hAnsi="Calibri"/>
          <w:b w:val="false"/>
          <w:bCs w:val="false"/>
          <w:i w:val="false"/>
          <w:iCs w:val="false"/>
          <w:color w:val="1A1A1A"/>
          <w:sz w:val="20"/>
          <w:szCs w:val="20"/>
        </w:rPr>
        <w:t xml:space="preserve">12.2 Se ammesso, il Fornitore informa il Cliente sulla funzione svolta dai sistemi utilizzati e resta responsabile della correttezza, dell'originalità e della liceità degli elaborati consegnati.</w:t>
      </w:r>
    </w:p>
    <w:p>
      <w:pPr>
        <w:spacing w:after="120" w:line="276"/>
        <w:jc w:val="both"/>
      </w:pPr>
      <w:r>
        <w:rPr>
          <w:rFonts w:ascii="Calibri" w:cs="Calibri" w:eastAsia="Calibri" w:hAnsi="Calibri"/>
          <w:b w:val="false"/>
          <w:bCs w:val="false"/>
          <w:i w:val="false"/>
          <w:iCs w:val="false"/>
          <w:color w:val="1A1A1A"/>
          <w:sz w:val="20"/>
          <w:szCs w:val="20"/>
        </w:rPr>
        <w:t xml:space="preserve">12.3 Il Fornitore non immette in sistemi di intelligenza artificiale dati riservati o personali del Cliente senza autorizzazione scritta e senza garanzie contrattuali adeguate da parte del fornitore del sistema.</w:t>
      </w:r>
    </w:p>
    <w:p>
      <w:pPr>
        <w:spacing w:after="120" w:line="276"/>
        <w:jc w:val="both"/>
      </w:pPr>
      <w:r>
        <w:rPr>
          <w:rFonts w:ascii="Calibri" w:cs="Calibri" w:eastAsia="Calibri" w:hAnsi="Calibri"/>
          <w:b w:val="false"/>
          <w:bCs w:val="false"/>
          <w:i w:val="false"/>
          <w:iCs w:val="false"/>
          <w:color w:val="1A1A1A"/>
          <w:sz w:val="20"/>
          <w:szCs w:val="20"/>
        </w:rPr>
        <w:t xml:space="preserve">12.4 I contenuti generati o modificati artificialmente destinati alla pubblicazione sono resi riconoscibili come tali ove richiesto dalla disciplina applicabile.</w:t>
      </w:r>
    </w:p>
    <w:p>
      <w:pPr>
        <w:pBdr>
          <w:left w:val="single" w:color="C8D2DE" w:sz="12" w:space="10"/>
        </w:pBdr>
        <w:spacing w:after="200" w:before="100" w:line="260"/>
        <w:ind w:left="316"/>
        <w:jc w:val="left"/>
      </w:pPr>
      <w:r>
        <w:rPr>
          <w:rFonts w:ascii="Calibri" w:cs="Calibri" w:eastAsia="Calibri" w:hAnsi="Calibri"/>
          <w:i/>
          <w:iCs/>
          <w:color w:val="5A6472"/>
          <w:sz w:val="18"/>
          <w:szCs w:val="18"/>
        </w:rPr>
        <w:t xml:space="preserve">Nota per chi compila — Il comma 12.3 è il più importante dei quattro e riguarda un rischio concreto e diffuso: immettere in strumenti esterni dati commerciali riservati o dati personali dei clienti finali senza verificare cosa il fornitore del sistema può farne.</w:t>
      </w:r>
    </w:p>
    <w:p>
      <w:pPr>
        <w:spacing w:after="130" w:before="300"/>
      </w:pPr>
      <w:r>
        <w:rPr>
          <w:rFonts w:ascii="Calibri" w:cs="Calibri" w:eastAsia="Calibri" w:hAnsi="Calibri"/>
          <w:b/>
          <w:bCs/>
          <w:color w:val="1F3A5F"/>
          <w:sz w:val="22"/>
          <w:szCs w:val="22"/>
        </w:rPr>
        <w:t xml:space="preserve">Art. 13 — </w:t>
      </w:r>
      <w:r>
        <w:rPr>
          <w:rFonts w:ascii="Calibri" w:cs="Calibri" w:eastAsia="Calibri" w:hAnsi="Calibri"/>
          <w:b/>
          <w:bCs/>
          <w:color w:val="1F3A5F"/>
          <w:sz w:val="22"/>
          <w:szCs w:val="22"/>
        </w:rPr>
        <w:t xml:space="preserve">Durata, recesso e risoluzione</w:t>
      </w:r>
    </w:p>
    <w:p>
      <w:pPr>
        <w:spacing w:after="120" w:line="276"/>
        <w:jc w:val="both"/>
      </w:pPr>
      <w:r>
        <w:rPr>
          <w:rFonts w:ascii="Calibri" w:cs="Calibri" w:eastAsia="Calibri" w:hAnsi="Calibri"/>
          <w:b w:val="false"/>
          <w:bCs w:val="false"/>
          <w:i w:val="false"/>
          <w:iCs w:val="false"/>
          <w:color w:val="1A1A1A"/>
          <w:sz w:val="20"/>
          <w:szCs w:val="20"/>
        </w:rPr>
        <w:t xml:space="preserve">13.1 Il contratto ha durata di [n.] mesi e si rinnova per uguale periodo salvo disdetta comunicata con preavviso di [n.] giorni.</w:t>
      </w:r>
    </w:p>
    <w:p>
      <w:pPr>
        <w:spacing w:after="120" w:line="276"/>
        <w:jc w:val="both"/>
      </w:pPr>
      <w:r>
        <w:rPr>
          <w:rFonts w:ascii="Calibri" w:cs="Calibri" w:eastAsia="Calibri" w:hAnsi="Calibri"/>
          <w:b w:val="false"/>
          <w:bCs w:val="false"/>
          <w:i w:val="false"/>
          <w:iCs w:val="false"/>
          <w:color w:val="1A1A1A"/>
          <w:sz w:val="20"/>
          <w:szCs w:val="20"/>
        </w:rPr>
        <w:t xml:space="preserve">13.2 Ciascuna Parte può recedere con preavviso scritto di [n.] giorni. Durante il preavviso il Fornitore completa le attività in corso.</w:t>
      </w:r>
    </w:p>
    <w:p>
      <w:pPr>
        <w:spacing w:after="120" w:line="276"/>
        <w:jc w:val="both"/>
      </w:pPr>
      <w:r>
        <w:rPr>
          <w:rFonts w:ascii="Calibri" w:cs="Calibri" w:eastAsia="Calibri" w:hAnsi="Calibri"/>
          <w:b w:val="false"/>
          <w:bCs w:val="false"/>
          <w:i w:val="false"/>
          <w:iCs w:val="false"/>
          <w:color w:val="1A1A1A"/>
          <w:sz w:val="20"/>
          <w:szCs w:val="20"/>
        </w:rPr>
        <w:t xml:space="preserve">13.3 Costituiscono causa di risoluzione di diritto ai sensi dell'art. 1456 c.c.: il mancato pagamento protratto oltre [n.] giorni dalla messa in mora, la violazione degli obblighi di riservatezza, la violazione dell'art. 4.</w:t>
      </w:r>
    </w:p>
    <w:p>
      <w:pPr>
        <w:spacing w:after="120" w:line="276"/>
        <w:jc w:val="both"/>
      </w:pPr>
      <w:r>
        <w:rPr>
          <w:rFonts w:ascii="Calibri" w:cs="Calibri" w:eastAsia="Calibri" w:hAnsi="Calibri"/>
          <w:b w:val="false"/>
          <w:bCs w:val="false"/>
          <w:i w:val="false"/>
          <w:iCs w:val="false"/>
          <w:color w:val="1A1A1A"/>
          <w:sz w:val="20"/>
          <w:szCs w:val="20"/>
        </w:rPr>
        <w:t xml:space="preserve">13.4 La cessazione non pregiudica il diritto del Fornitore al Corrispettivo maturato.</w:t>
      </w:r>
    </w:p>
    <w:p>
      <w:pPr>
        <w:spacing w:after="130" w:before="300"/>
      </w:pPr>
      <w:r>
        <w:rPr>
          <w:rFonts w:ascii="Calibri" w:cs="Calibri" w:eastAsia="Calibri" w:hAnsi="Calibri"/>
          <w:b/>
          <w:bCs/>
          <w:color w:val="1F3A5F"/>
          <w:sz w:val="22"/>
          <w:szCs w:val="22"/>
        </w:rPr>
        <w:t xml:space="preserve">Art. 14 — </w:t>
      </w:r>
      <w:r>
        <w:rPr>
          <w:rFonts w:ascii="Calibri" w:cs="Calibri" w:eastAsia="Calibri" w:hAnsi="Calibri"/>
          <w:b/>
          <w:bCs/>
          <w:color w:val="1F3A5F"/>
          <w:sz w:val="22"/>
          <w:szCs w:val="22"/>
        </w:rPr>
        <w:t xml:space="preserve">Responsabilità</w:t>
      </w:r>
    </w:p>
    <w:p>
      <w:pPr>
        <w:spacing w:after="120" w:line="276"/>
        <w:jc w:val="both"/>
      </w:pPr>
      <w:r>
        <w:rPr>
          <w:rFonts w:ascii="Calibri" w:cs="Calibri" w:eastAsia="Calibri" w:hAnsi="Calibri"/>
          <w:b w:val="false"/>
          <w:bCs w:val="false"/>
          <w:i w:val="false"/>
          <w:iCs w:val="false"/>
          <w:color w:val="1A1A1A"/>
          <w:sz w:val="20"/>
          <w:szCs w:val="20"/>
        </w:rPr>
        <w:t xml:space="preserve">14.1 Il Fornitore risponde dei danni diretti causati da dolo o colpa grave.</w:t>
      </w:r>
    </w:p>
    <w:p>
      <w:pPr>
        <w:spacing w:after="120" w:line="276"/>
        <w:jc w:val="both"/>
      </w:pPr>
      <w:r>
        <w:rPr>
          <w:rFonts w:ascii="Calibri" w:cs="Calibri" w:eastAsia="Calibri" w:hAnsi="Calibri"/>
          <w:b w:val="false"/>
          <w:bCs w:val="false"/>
          <w:i w:val="false"/>
          <w:iCs w:val="false"/>
          <w:color w:val="1A1A1A"/>
          <w:sz w:val="20"/>
          <w:szCs w:val="20"/>
        </w:rPr>
        <w:t xml:space="preserve">14.2 Salvo dolo o colpa grave, la responsabilità complessiva del Fornitore è contenuta entro l'importo del Corrispettivo percepito nei [n.] mesi precedenti l'evento. Il Budget di terzi non concorre a determinare tale limite.</w:t>
      </w:r>
    </w:p>
    <w:p>
      <w:pPr>
        <w:spacing w:after="120" w:line="276"/>
        <w:jc w:val="both"/>
      </w:pPr>
      <w:r>
        <w:rPr>
          <w:rFonts w:ascii="Calibri" w:cs="Calibri" w:eastAsia="Calibri" w:hAnsi="Calibri"/>
          <w:b w:val="false"/>
          <w:bCs w:val="false"/>
          <w:i w:val="false"/>
          <w:iCs w:val="false"/>
          <w:color w:val="1A1A1A"/>
          <w:sz w:val="20"/>
          <w:szCs w:val="20"/>
        </w:rPr>
        <w:t xml:space="preserve">14.3 Sono esclusi i danni indiretti, il mancato guadagno e la perdita di opportunità commerciali.</w:t>
      </w:r>
    </w:p>
    <w:p>
      <w:pPr>
        <w:spacing w:after="120" w:line="276"/>
        <w:jc w:val="both"/>
      </w:pPr>
      <w:r>
        <w:rPr>
          <w:rFonts w:ascii="Calibri" w:cs="Calibri" w:eastAsia="Calibri" w:hAnsi="Calibri"/>
          <w:b w:val="false"/>
          <w:bCs w:val="false"/>
          <w:i w:val="false"/>
          <w:iCs w:val="false"/>
          <w:color w:val="1A1A1A"/>
          <w:sz w:val="20"/>
          <w:szCs w:val="20"/>
        </w:rPr>
        <w:t xml:space="preserve">14.4 Il Cliente risponde della veridicità e della conformità normativa delle informazioni relative ai propri prodotti e servizi e manleva il Fornitore da pretese di terzi fondate su di esse.</w:t>
      </w:r>
    </w:p>
    <w:p>
      <w:pPr>
        <w:spacing w:after="120" w:line="276"/>
        <w:jc w:val="both"/>
      </w:pPr>
      <w:r>
        <w:rPr>
          <w:rFonts w:ascii="Calibri" w:cs="Calibri" w:eastAsia="Calibri" w:hAnsi="Calibri"/>
          <w:b w:val="false"/>
          <w:bCs w:val="false"/>
          <w:i w:val="false"/>
          <w:iCs w:val="false"/>
          <w:color w:val="1A1A1A"/>
          <w:sz w:val="20"/>
          <w:szCs w:val="20"/>
        </w:rPr>
        <w:t xml:space="preserve">14.5 Il Fornitore non risponde di variazioni delle condizioni, degli algoritmi o delle politiche di piattaforme e motori di ricerca gestiti da soggetti terzi.</w:t>
      </w:r>
    </w:p>
    <w:p>
      <w:pPr>
        <w:spacing w:after="130" w:before="300"/>
      </w:pPr>
      <w:r>
        <w:rPr>
          <w:rFonts w:ascii="Calibri" w:cs="Calibri" w:eastAsia="Calibri" w:hAnsi="Calibri"/>
          <w:b/>
          <w:bCs/>
          <w:color w:val="1F3A5F"/>
          <w:sz w:val="22"/>
          <w:szCs w:val="22"/>
        </w:rPr>
        <w:t xml:space="preserve">Art. 15 — </w:t>
      </w:r>
      <w:r>
        <w:rPr>
          <w:rFonts w:ascii="Calibri" w:cs="Calibri" w:eastAsia="Calibri" w:hAnsi="Calibri"/>
          <w:b/>
          <w:bCs/>
          <w:color w:val="1F3A5F"/>
          <w:sz w:val="22"/>
          <w:szCs w:val="22"/>
        </w:rPr>
        <w:t xml:space="preserve">Passaggio di consegne</w:t>
      </w:r>
    </w:p>
    <w:p>
      <w:pPr>
        <w:spacing w:after="120" w:line="276"/>
        <w:jc w:val="both"/>
      </w:pPr>
      <w:r>
        <w:rPr>
          <w:rFonts w:ascii="Calibri" w:cs="Calibri" w:eastAsia="Calibri" w:hAnsi="Calibri"/>
          <w:b w:val="false"/>
          <w:bCs w:val="false"/>
          <w:i w:val="false"/>
          <w:iCs w:val="false"/>
          <w:color w:val="1A1A1A"/>
          <w:sz w:val="20"/>
          <w:szCs w:val="20"/>
        </w:rPr>
        <w:t xml:space="preserve">15.1 Alla cessazione del contratto il Fornitore, entro [n.] giorni: consegna i Materiali prodotti e non ancora trasmessi, la documentazione delle configurazioni effettuate, l'elenco delle attività in corso e ogni credenziale creata per conto del Cliente; rimuove i propri accessi alle Risorse digitali.</w:t>
      </w:r>
    </w:p>
    <w:p>
      <w:pPr>
        <w:spacing w:after="120" w:line="276"/>
        <w:jc w:val="both"/>
      </w:pPr>
      <w:r>
        <w:rPr>
          <w:rFonts w:ascii="Calibri" w:cs="Calibri" w:eastAsia="Calibri" w:hAnsi="Calibri"/>
          <w:b w:val="false"/>
          <w:bCs w:val="false"/>
          <w:i w:val="false"/>
          <w:iCs w:val="false"/>
          <w:color w:val="1A1A1A"/>
          <w:sz w:val="20"/>
          <w:szCs w:val="20"/>
        </w:rPr>
        <w:t xml:space="preserve">15.2 Nessuna Risorsa digitale, dato o configurazione è rimossa o disattivata dal Fornitore alla cessazione del rapporto.</w:t>
      </w:r>
    </w:p>
    <w:p>
      <w:pPr>
        <w:spacing w:after="120" w:line="276"/>
        <w:jc w:val="both"/>
      </w:pPr>
      <w:r>
        <w:rPr>
          <w:rFonts w:ascii="Calibri" w:cs="Calibri" w:eastAsia="Calibri" w:hAnsi="Calibri"/>
          <w:b w:val="false"/>
          <w:bCs w:val="false"/>
          <w:i w:val="false"/>
          <w:iCs w:val="false"/>
          <w:color w:val="1A1A1A"/>
          <w:sz w:val="20"/>
          <w:szCs w:val="20"/>
        </w:rPr>
        <w:t xml:space="preserve">15.3 Le attività di affiancamento al fornitore subentrante eccedenti quanto previsto ai commi precedenti sono quotate separatamente.</w:t>
      </w:r>
    </w:p>
    <w:p>
      <w:pPr>
        <w:spacing w:after="130" w:before="300"/>
      </w:pPr>
      <w:r>
        <w:rPr>
          <w:rFonts w:ascii="Calibri" w:cs="Calibri" w:eastAsia="Calibri" w:hAnsi="Calibri"/>
          <w:b/>
          <w:bCs/>
          <w:color w:val="1F3A5F"/>
          <w:sz w:val="22"/>
          <w:szCs w:val="22"/>
        </w:rPr>
        <w:t xml:space="preserve">Art. 16 — </w:t>
      </w:r>
      <w:r>
        <w:rPr>
          <w:rFonts w:ascii="Calibri" w:cs="Calibri" w:eastAsia="Calibri" w:hAnsi="Calibri"/>
          <w:b/>
          <w:bCs/>
          <w:color w:val="1F3A5F"/>
          <w:sz w:val="22"/>
          <w:szCs w:val="22"/>
        </w:rPr>
        <w:t xml:space="preserve">Comunicazioni, modifiche e cessione</w:t>
      </w:r>
    </w:p>
    <w:p>
      <w:pPr>
        <w:spacing w:after="120" w:line="276"/>
        <w:jc w:val="both"/>
      </w:pPr>
      <w:r>
        <w:rPr>
          <w:rFonts w:ascii="Calibri" w:cs="Calibri" w:eastAsia="Calibri" w:hAnsi="Calibri"/>
          <w:b w:val="false"/>
          <w:bCs w:val="false"/>
          <w:i w:val="false"/>
          <w:iCs w:val="false"/>
          <w:color w:val="1A1A1A"/>
          <w:sz w:val="20"/>
          <w:szCs w:val="20"/>
        </w:rPr>
        <w:t xml:space="preserve">16.1 Le comunicazioni sono effettuate per iscritto agli indirizzi indicati in epigrafe.</w:t>
      </w:r>
    </w:p>
    <w:p>
      <w:pPr>
        <w:spacing w:after="120" w:line="276"/>
        <w:jc w:val="both"/>
      </w:pPr>
      <w:r>
        <w:rPr>
          <w:rFonts w:ascii="Calibri" w:cs="Calibri" w:eastAsia="Calibri" w:hAnsi="Calibri"/>
          <w:b w:val="false"/>
          <w:bCs w:val="false"/>
          <w:i w:val="false"/>
          <w:iCs w:val="false"/>
          <w:color w:val="1A1A1A"/>
          <w:sz w:val="20"/>
          <w:szCs w:val="20"/>
        </w:rPr>
        <w:t xml:space="preserve">16.2 Il contratto può essere modificato solo per iscritto e non è cedibile senza consenso scritto dell'altra Parte.</w:t>
      </w:r>
    </w:p>
    <w:p>
      <w:pPr>
        <w:spacing w:after="120" w:line="276"/>
        <w:jc w:val="both"/>
      </w:pPr>
      <w:r>
        <w:rPr>
          <w:rFonts w:ascii="Calibri" w:cs="Calibri" w:eastAsia="Calibri" w:hAnsi="Calibri"/>
          <w:b w:val="false"/>
          <w:bCs w:val="false"/>
          <w:i w:val="false"/>
          <w:iCs w:val="false"/>
          <w:color w:val="1A1A1A"/>
          <w:sz w:val="20"/>
          <w:szCs w:val="20"/>
        </w:rPr>
        <w:t xml:space="preserve">16.3 Il presente contratto e i suoi allegati sostituiscono ogni precedente accordo avente il medesimo oggetto. In caso di contrasto fra il contratto e gli allegati, prevale il contratto.</w:t>
      </w:r>
    </w:p>
    <w:p>
      <w:pPr>
        <w:spacing w:after="130" w:before="300"/>
      </w:pPr>
      <w:r>
        <w:rPr>
          <w:rFonts w:ascii="Calibri" w:cs="Calibri" w:eastAsia="Calibri" w:hAnsi="Calibri"/>
          <w:b/>
          <w:bCs/>
          <w:color w:val="1F3A5F"/>
          <w:sz w:val="22"/>
          <w:szCs w:val="22"/>
        </w:rPr>
        <w:t xml:space="preserve">Art. 17 — </w:t>
      </w:r>
      <w:r>
        <w:rPr>
          <w:rFonts w:ascii="Calibri" w:cs="Calibri" w:eastAsia="Calibri" w:hAnsi="Calibri"/>
          <w:b/>
          <w:bCs/>
          <w:color w:val="1F3A5F"/>
          <w:sz w:val="22"/>
          <w:szCs w:val="22"/>
        </w:rPr>
        <w:t xml:space="preserve">Legge applicabile e foro competente</w:t>
      </w:r>
    </w:p>
    <w:p>
      <w:pPr>
        <w:spacing w:after="120" w:line="276"/>
        <w:jc w:val="both"/>
      </w:pPr>
      <w:r>
        <w:rPr>
          <w:rFonts w:ascii="Calibri" w:cs="Calibri" w:eastAsia="Calibri" w:hAnsi="Calibri"/>
          <w:b w:val="false"/>
          <w:bCs w:val="false"/>
          <w:i w:val="false"/>
          <w:iCs w:val="false"/>
          <w:color w:val="1A1A1A"/>
          <w:sz w:val="20"/>
          <w:szCs w:val="20"/>
        </w:rPr>
        <w:t xml:space="preserve">17.1 Il contratto è regolato dalla legge italiana.</w:t>
      </w:r>
    </w:p>
    <w:p>
      <w:pPr>
        <w:spacing w:after="120" w:line="276"/>
        <w:jc w:val="both"/>
      </w:pPr>
      <w:r>
        <w:rPr>
          <w:rFonts w:ascii="Calibri" w:cs="Calibri" w:eastAsia="Calibri" w:hAnsi="Calibri"/>
          <w:b w:val="false"/>
          <w:bCs w:val="false"/>
          <w:i w:val="false"/>
          <w:iCs w:val="false"/>
          <w:color w:val="1A1A1A"/>
          <w:sz w:val="20"/>
          <w:szCs w:val="20"/>
        </w:rPr>
        <w:t xml:space="preserve">17.2 Per ogni controversia è competente in via esclusiva il Foro di [___], salvo quanto inderogabilmente previsto dalla legge quando una delle Parti riveste la qualità di consumatore.</w:t>
      </w:r>
    </w:p>
    <w:p>
      <w:pPr>
        <w:spacing w:after="120" w:line="276"/>
        <w:jc w:val="both"/>
      </w:pPr>
      <w:r>
        <w:rPr>
          <w:rFonts w:ascii="Calibri" w:cs="Calibri" w:eastAsia="Calibri" w:hAnsi="Calibri"/>
          <w:b w:val="false"/>
          <w:bCs w:val="false"/>
          <w:i w:val="false"/>
          <w:iCs w:val="false"/>
          <w:color w:val="1A1A1A"/>
          <w:sz w:val="20"/>
          <w:szCs w:val="20"/>
        </w:rPr>
        <w:t xml:space="preserve">17.3 Le Parti si impegnano a tentare una composizione bonaria prima di adire l'autorità giudiziaria.</w:t>
      </w:r>
    </w:p>
    <w:p>
      <w:pPr>
        <w:spacing w:after="120" w:line="276"/>
        <w:jc w:val="both"/>
      </w:pPr>
      <w:r>
        <w:rPr>
          <w:rFonts w:ascii="Calibri" w:cs="Calibri" w:eastAsia="Calibri" w:hAnsi="Calibri"/>
          <w:b w:val="false"/>
          <w:bCs w:val="false"/>
          <w:i w:val="false"/>
          <w:iCs w:val="false"/>
          <w:color w:val="1A1A1A"/>
          <w:sz w:val="20"/>
          <w:szCs w:val="20"/>
        </w:rPr>
        <w:t xml:space="preserve">Luogo e data: [___]</w:t>
      </w:r>
    </w:p>
    <w:p>
      <w:pPr>
        <w:spacing w:after="220" w:line="276"/>
        <w:jc w:val="both"/>
      </w:pPr>
      <w:r>
        <w:rPr>
          <w:rFonts w:ascii="Calibri" w:cs="Calibri" w:eastAsia="Calibri" w:hAnsi="Calibri"/>
          <w:b w:val="false"/>
          <w:bCs w:val="false"/>
          <w:i w:val="false"/>
          <w:iCs w:val="false"/>
          <w:color w:val="1A1A1A"/>
          <w:sz w:val="20"/>
          <w:szCs w:val="20"/>
        </w:rPr>
        <w:t xml:space="preserve"/>
      </w:r>
    </w:p>
    <w:tbl>
      <w:tblPr>
        <w:tblW w:type="dxa" w:w="9360"/>
        <w:tblBorders>
          <w:top w:val="single" w:color="D9DEE5" w:sz="4"/>
          <w:left w:val="single" w:color="D9DEE5" w:sz="4"/>
          <w:bottom w:val="single" w:color="D9DEE5" w:sz="4"/>
          <w:right w:val="single" w:color="D9DEE5" w:sz="4"/>
          <w:insideH w:val="single" w:color="D9DEE5" w:sz="4"/>
          <w:insideV w:val="single" w:color="D9DEE5" w:sz="4"/>
        </w:tblBorders>
      </w:tblPr>
      <w:tblGrid>
        <w:gridCol w:w="4680"/>
        <w:gridCol w:w="4680"/>
      </w:tblGrid>
      <w:tr>
        <w:trPr>
          <w:tblHeader/>
        </w:trPr>
        <w:tc>
          <w:tcPr>
            <w:tcW w:type="dxa" w:w="468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Il Cliente</w:t>
            </w:r>
          </w:p>
        </w:tc>
        <w:tc>
          <w:tcPr>
            <w:tcW w:type="dxa" w:w="468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Il Fornitore</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___________________________</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___________________________</w:t>
            </w:r>
          </w:p>
        </w:tc>
      </w:tr>
    </w:tbl>
    <w:p>
      <w:pPr>
        <w:spacing w:after="200" w:line="276"/>
        <w:jc w:val="both"/>
      </w:pPr>
      <w:r>
        <w:rPr>
          <w:rFonts w:ascii="Calibri" w:cs="Calibri" w:eastAsia="Calibri" w:hAnsi="Calibri"/>
          <w:b w:val="false"/>
          <w:bCs w:val="false"/>
          <w:i w:val="false"/>
          <w:iCs w:val="false"/>
          <w:color w:val="1A1A1A"/>
          <w:sz w:val="20"/>
          <w:szCs w:val="20"/>
        </w:rPr>
        <w:t xml:space="preserve"/>
      </w:r>
    </w:p>
    <w:p>
      <w:pPr>
        <w:pBdr>
          <w:bottom w:val="single" w:color="D9DEE5" w:sz="6" w:space="4"/>
        </w:pBdr>
        <w:spacing w:after="140" w:before="280"/>
      </w:pPr>
      <w:r>
        <w:rPr>
          <w:rFonts w:ascii="Calibri" w:cs="Calibri" w:eastAsia="Calibri" w:hAnsi="Calibri"/>
          <w:b/>
          <w:bCs/>
          <w:color w:val="1F3A5F"/>
          <w:sz w:val="24"/>
          <w:szCs w:val="24"/>
        </w:rPr>
        <w:t xml:space="preserve">Approvazione specifica delle clausole</w:t>
      </w:r>
    </w:p>
    <w:p>
      <w:pPr>
        <w:spacing w:after="120" w:line="276"/>
        <w:jc w:val="both"/>
      </w:pPr>
      <w:r>
        <w:rPr>
          <w:rFonts w:ascii="Calibri" w:cs="Calibri" w:eastAsia="Calibri" w:hAnsi="Calibri"/>
          <w:b w:val="false"/>
          <w:bCs w:val="false"/>
          <w:i w:val="false"/>
          <w:iCs w:val="false"/>
          <w:color w:val="1A1A1A"/>
          <w:sz w:val="20"/>
          <w:szCs w:val="20"/>
        </w:rPr>
        <w:t xml:space="preserve">Ai sensi e per gli effetti degli artt. 1341 e 1342 c.c., le Parti approvano specificamente le clausole di cui agli articoli: 2.2 (natura dell'obbligazione), 2.4 (subfornitura), 3 (perimetro), 5.3 (approvazione tacita), 5.4 e 5.5 (esonero e sospensione), 6.3 (anticipazioni), 8.2 e 8.4 (corrispettivo nei periodi di ridotta attività e adeguamento), 8.6 (sospensione per mancato pagamento), 9.2 e 9.3 (esclusioni dalla cessione e file sorgente), 10.3 (non sollecitazione), 13 (durata e risoluzione), 14 (responsabilità), 17.2 (foro competente).</w:t>
      </w:r>
    </w:p>
    <w:p>
      <w:pPr>
        <w:spacing w:after="220" w:line="276"/>
        <w:jc w:val="both"/>
      </w:pPr>
      <w:r>
        <w:rPr>
          <w:rFonts w:ascii="Calibri" w:cs="Calibri" w:eastAsia="Calibri" w:hAnsi="Calibri"/>
          <w:b w:val="false"/>
          <w:bCs w:val="false"/>
          <w:i w:val="false"/>
          <w:iCs w:val="false"/>
          <w:color w:val="1A1A1A"/>
          <w:sz w:val="20"/>
          <w:szCs w:val="20"/>
        </w:rPr>
        <w:t xml:space="preserve"/>
      </w:r>
    </w:p>
    <w:tbl>
      <w:tblPr>
        <w:tblW w:type="dxa" w:w="9360"/>
        <w:tblBorders>
          <w:top w:val="single" w:color="D9DEE5" w:sz="4"/>
          <w:left w:val="single" w:color="D9DEE5" w:sz="4"/>
          <w:bottom w:val="single" w:color="D9DEE5" w:sz="4"/>
          <w:right w:val="single" w:color="D9DEE5" w:sz="4"/>
          <w:insideH w:val="single" w:color="D9DEE5" w:sz="4"/>
          <w:insideV w:val="single" w:color="D9DEE5" w:sz="4"/>
        </w:tblBorders>
      </w:tblPr>
      <w:tblGrid>
        <w:gridCol w:w="4680"/>
        <w:gridCol w:w="4680"/>
      </w:tblGrid>
      <w:tr>
        <w:trPr>
          <w:tblHeader/>
        </w:trPr>
        <w:tc>
          <w:tcPr>
            <w:tcW w:type="dxa" w:w="468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Il Cliente</w:t>
            </w:r>
          </w:p>
        </w:tc>
        <w:tc>
          <w:tcPr>
            <w:tcW w:type="dxa" w:w="468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Il Fornitore</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___________________________</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___________________________</w:t>
            </w:r>
          </w:p>
        </w:tc>
      </w:tr>
    </w:tbl>
    <w:p>
      <w:pPr>
        <w:spacing w:after="200" w:line="276"/>
        <w:jc w:val="both"/>
      </w:pPr>
      <w:r>
        <w:rPr>
          <w:rFonts w:ascii="Calibri" w:cs="Calibri" w:eastAsia="Calibri" w:hAnsi="Calibri"/>
          <w:b w:val="false"/>
          <w:bCs w:val="false"/>
          <w:i w:val="false"/>
          <w:iCs w:val="false"/>
          <w:color w:val="1A1A1A"/>
          <w:sz w:val="20"/>
          <w:szCs w:val="20"/>
        </w:rPr>
        <w:t xml:space="preserve"/>
      </w:r>
    </w:p>
    <w:p>
      <w:pPr>
        <w:pBdr>
          <w:bottom w:val="single" w:color="D9DEE5" w:sz="6" w:space="4"/>
        </w:pBdr>
        <w:spacing w:after="140" w:before="280"/>
      </w:pPr>
      <w:r>
        <w:rPr>
          <w:rFonts w:ascii="Calibri" w:cs="Calibri" w:eastAsia="Calibri" w:hAnsi="Calibri"/>
          <w:b/>
          <w:bCs/>
          <w:color w:val="1F3A5F"/>
          <w:sz w:val="24"/>
          <w:szCs w:val="24"/>
        </w:rPr>
        <w:t xml:space="preserve">Allegato A — Servizi, quantità e referenti</w:t>
      </w:r>
    </w:p>
    <w:p>
      <w:pPr>
        <w:spacing w:after="120" w:line="276"/>
        <w:jc w:val="both"/>
      </w:pPr>
      <w:r>
        <w:rPr>
          <w:rFonts w:ascii="Calibri" w:cs="Calibri" w:eastAsia="Calibri" w:hAnsi="Calibri"/>
          <w:b w:val="false"/>
          <w:bCs w:val="false"/>
          <w:i w:val="false"/>
          <w:iCs w:val="false"/>
          <w:color w:val="1A1A1A"/>
          <w:sz w:val="20"/>
          <w:szCs w:val="20"/>
        </w:rPr>
        <w:t xml:space="preserve">Da compilare e sottoscrivere insieme al contratto. Per ogni ambito indicare cosa è compreso, in quale quantità e cosa resta escluso.</w:t>
      </w:r>
    </w:p>
    <w:tbl>
      <w:tblPr>
        <w:tblW w:type="dxa" w:w="9360"/>
        <w:tblBorders>
          <w:top w:val="single" w:color="D9DEE5" w:sz="4"/>
          <w:left w:val="single" w:color="D9DEE5" w:sz="4"/>
          <w:bottom w:val="single" w:color="D9DEE5" w:sz="4"/>
          <w:right w:val="single" w:color="D9DEE5" w:sz="4"/>
          <w:insideH w:val="single" w:color="D9DEE5" w:sz="4"/>
          <w:insideV w:val="single" w:color="D9DEE5" w:sz="4"/>
        </w:tblBorders>
      </w:tblPr>
      <w:tblGrid>
        <w:gridCol w:w="2340"/>
        <w:gridCol w:w="2340"/>
        <w:gridCol w:w="2340"/>
        <w:gridCol w:w="2340"/>
      </w:tblGrid>
      <w:tr>
        <w:trPr>
          <w:tblHeader/>
        </w:trPr>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Ambito</w:t>
            </w:r>
          </w:p>
        </w:tc>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Compreso</w:t>
            </w:r>
          </w:p>
        </w:tc>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Quantità o limite</w:t>
            </w:r>
          </w:p>
        </w:tc>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Escluso</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Strategia e pianificazione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 incontri, n. documenti]</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Ricerca organica</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 ore/mese]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Contenuti</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 contenuti/mese]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Social</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 contenuti/mese, canali]</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Advertising</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[piattaforme, budget di riferimento]</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Email e automazioni</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 invii/mese]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Analisi e misurazione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[periodicità]</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Sito e sviluppo</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 ore/mese]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bl>
    <w:p>
      <w:pPr>
        <w:spacing w:after="160" w:line="276"/>
        <w:jc w:val="both"/>
      </w:pPr>
      <w:r>
        <w:rPr>
          <w:rFonts w:ascii="Calibri" w:cs="Calibri" w:eastAsia="Calibri" w:hAnsi="Calibri"/>
          <w:b w:val="false"/>
          <w:bCs w:val="false"/>
          <w:i w:val="false"/>
          <w:iCs w:val="false"/>
          <w:color w:val="1A1A1A"/>
          <w:sz w:val="20"/>
          <w:szCs w:val="20"/>
        </w:rPr>
        <w:t xml:space="preserve"/>
      </w:r>
    </w:p>
    <w:tbl>
      <w:tblPr>
        <w:tblW w:type="dxa" w:w="9360"/>
        <w:tblBorders>
          <w:top w:val="single" w:color="D9DEE5" w:sz="4"/>
          <w:left w:val="single" w:color="D9DEE5" w:sz="4"/>
          <w:bottom w:val="single" w:color="D9DEE5" w:sz="4"/>
          <w:right w:val="single" w:color="D9DEE5" w:sz="4"/>
          <w:insideH w:val="single" w:color="D9DEE5" w:sz="4"/>
          <w:insideV w:val="single" w:color="D9DEE5" w:sz="4"/>
        </w:tblBorders>
      </w:tblPr>
      <w:tblGrid>
        <w:gridCol w:w="4680"/>
        <w:gridCol w:w="4680"/>
      </w:tblGrid>
      <w:tr>
        <w:trPr>
          <w:tblHeader/>
        </w:trPr>
        <w:tc>
          <w:tcPr>
            <w:tcW w:type="dxa" w:w="468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Voce</w:t>
            </w:r>
          </w:p>
        </w:tc>
        <w:tc>
          <w:tcPr>
            <w:tcW w:type="dxa" w:w="468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Contenuto</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Referente del Cliente</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[nome, ruolo, contatto]</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Referente del Fornitore</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[nome, contatto]</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Tempi di riscontro attesi</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 giorni lavorativi]</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Frequenza degli incontri</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Canale di coordinamento</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Strumenti e licenze in uso</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[quali, costo, a carico di chi]</w:t>
            </w:r>
          </w:p>
        </w:tc>
      </w:tr>
      <w:tr>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Subfornitori impiegati</w:t>
            </w:r>
          </w:p>
        </w:tc>
        <w:tc>
          <w:tcPr>
            <w:tcW w:type="dxa" w:w="468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[ambiti in cui il Fornitore si avvale di terzi]</w:t>
            </w:r>
          </w:p>
        </w:tc>
      </w:tr>
    </w:tbl>
    <w:p>
      <w:pPr>
        <w:spacing w:after="160" w:line="276"/>
        <w:jc w:val="both"/>
      </w:pPr>
      <w:r>
        <w:rPr>
          <w:rFonts w:ascii="Calibri" w:cs="Calibri" w:eastAsia="Calibri" w:hAnsi="Calibri"/>
          <w:b w:val="false"/>
          <w:bCs w:val="false"/>
          <w:i w:val="false"/>
          <w:iCs w:val="false"/>
          <w:color w:val="1A1A1A"/>
          <w:sz w:val="20"/>
          <w:szCs w:val="20"/>
        </w:rPr>
        <w:t xml:space="preserve"/>
      </w:r>
    </w:p>
    <w:p>
      <w:pPr>
        <w:pBdr>
          <w:bottom w:val="single" w:color="D9DEE5" w:sz="6" w:space="4"/>
        </w:pBdr>
        <w:spacing w:after="140" w:before="280"/>
      </w:pPr>
      <w:r>
        <w:rPr>
          <w:rFonts w:ascii="Calibri" w:cs="Calibri" w:eastAsia="Calibri" w:hAnsi="Calibri"/>
          <w:b/>
          <w:bCs/>
          <w:color w:val="1F3A5F"/>
          <w:sz w:val="24"/>
          <w:szCs w:val="24"/>
        </w:rPr>
        <w:t xml:space="preserve">Allegato B — Indicatori, fonti e obiettivi</w:t>
      </w:r>
    </w:p>
    <w:p>
      <w:pPr>
        <w:spacing w:after="120" w:line="276"/>
        <w:jc w:val="both"/>
      </w:pPr>
      <w:r>
        <w:rPr>
          <w:rFonts w:ascii="Calibri" w:cs="Calibri" w:eastAsia="Calibri" w:hAnsi="Calibri"/>
          <w:b w:val="false"/>
          <w:bCs w:val="false"/>
          <w:i w:val="false"/>
          <w:iCs w:val="false"/>
          <w:color w:val="1A1A1A"/>
          <w:sz w:val="20"/>
          <w:szCs w:val="20"/>
        </w:rPr>
        <w:t xml:space="preserve">Riferimenti condivisi per la lettura dei risultati. Per ciascun indicatore va indicata la fonte che fa fede in caso di discordanza.</w:t>
      </w:r>
    </w:p>
    <w:tbl>
      <w:tblPr>
        <w:tblW w:type="dxa" w:w="9360"/>
        <w:tblBorders>
          <w:top w:val="single" w:color="D9DEE5" w:sz="4"/>
          <w:left w:val="single" w:color="D9DEE5" w:sz="4"/>
          <w:bottom w:val="single" w:color="D9DEE5" w:sz="4"/>
          <w:right w:val="single" w:color="D9DEE5" w:sz="4"/>
          <w:insideH w:val="single" w:color="D9DEE5" w:sz="4"/>
          <w:insideV w:val="single" w:color="D9DEE5" w:sz="4"/>
        </w:tblBorders>
      </w:tblPr>
      <w:tblGrid>
        <w:gridCol w:w="2340"/>
        <w:gridCol w:w="2340"/>
        <w:gridCol w:w="2340"/>
        <w:gridCol w:w="2340"/>
      </w:tblGrid>
      <w:tr>
        <w:trPr>
          <w:tblHeader/>
        </w:trPr>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Indicatore</w:t>
            </w:r>
          </w:p>
        </w:tc>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Fonte che fa fede</w:t>
            </w:r>
          </w:p>
        </w:tc>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Valore di partenza</w:t>
            </w:r>
          </w:p>
        </w:tc>
        <w:tc>
          <w:tcPr>
            <w:tcW w:type="dxa" w:w="2340"/>
            <w:shd w:fill="EEF2F7" w:val="clear"/>
            <w:tcMar>
              <w:top w:type="dxa" w:w="80"/>
              <w:left w:type="dxa" w:w="110"/>
              <w:bottom w:type="dxa" w:w="80"/>
              <w:right w:type="dxa" w:w="110"/>
            </w:tcMar>
          </w:tcPr>
          <w:p>
            <w:pPr>
              <w:spacing w:after="0" w:line="250"/>
            </w:pPr>
            <w:r>
              <w:rPr>
                <w:rFonts w:ascii="Calibri" w:cs="Calibri" w:eastAsia="Calibri" w:hAnsi="Calibri"/>
                <w:b/>
                <w:bCs/>
                <w:color w:val="1F3A5F"/>
                <w:sz w:val="17"/>
                <w:szCs w:val="17"/>
              </w:rPr>
              <w:t xml:space="preserve">Riferimento a [n.] mesi</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Traffico qualificato al sito</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[piattaforma di analisi]</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Contatti generati</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[CRM / gestionale]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Costo per contatto</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[CRM / gestionale]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Vendite attribuite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[gestionale]</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Visibilità organica</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[strumento concordato]</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r>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Notorietà di marca</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[ricerche di marca, traffico diretto]</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c>
          <w:tcPr>
            <w:tcW w:type="dxa" w:w="2340"/>
            <w:tcMar>
              <w:top w:type="dxa" w:w="80"/>
              <w:left w:type="dxa" w:w="110"/>
              <w:bottom w:type="dxa" w:w="80"/>
              <w:right w:type="dxa" w:w="110"/>
            </w:tcMar>
          </w:tcPr>
          <w:p>
            <w:pPr>
              <w:spacing w:after="0" w:line="250"/>
            </w:pPr>
            <w:r>
              <w:rPr>
                <w:rFonts w:ascii="Calibri" w:cs="Calibri" w:eastAsia="Calibri" w:hAnsi="Calibri"/>
                <w:b w:val="false"/>
                <w:bCs w:val="false"/>
                <w:color w:val="1A1A1A"/>
                <w:sz w:val="17"/>
                <w:szCs w:val="17"/>
              </w:rPr>
              <w:t xml:space="preserve">[___]</w:t>
            </w:r>
          </w:p>
        </w:tc>
      </w:tr>
    </w:tbl>
    <w:p>
      <w:pPr>
        <w:spacing w:after="160" w:line="276"/>
        <w:jc w:val="both"/>
      </w:pPr>
      <w:r>
        <w:rPr>
          <w:rFonts w:ascii="Calibri" w:cs="Calibri" w:eastAsia="Calibri" w:hAnsi="Calibri"/>
          <w:b w:val="false"/>
          <w:bCs w:val="false"/>
          <w:i w:val="false"/>
          <w:iCs w:val="false"/>
          <w:color w:val="1A1A1A"/>
          <w:sz w:val="20"/>
          <w:szCs w:val="20"/>
        </w:rPr>
        <w:t xml:space="preserve"/>
      </w:r>
    </w:p>
    <w:p>
      <w:pPr>
        <w:spacing w:after="120" w:line="276"/>
        <w:jc w:val="both"/>
      </w:pPr>
      <w:r>
        <w:rPr>
          <w:rFonts w:ascii="Calibri" w:cs="Calibri" w:eastAsia="Calibri" w:hAnsi="Calibri"/>
          <w:b w:val="false"/>
          <w:bCs w:val="false"/>
          <w:i w:val="false"/>
          <w:iCs w:val="false"/>
          <w:color w:val="1A1A1A"/>
          <w:sz w:val="20"/>
          <w:szCs w:val="20"/>
        </w:rPr>
        <w:t xml:space="preserve">Periodicità della rendicontazione: [mensile / trimestrale]. Revisione congiunta del perimetro: [ogni n. mesi].</w:t>
      </w:r>
    </w:p>
    <w:p>
      <w:pPr>
        <w:pBdr>
          <w:bottom w:val="single" w:color="D9DEE5" w:sz="6" w:space="4"/>
        </w:pBdr>
        <w:spacing w:after="140" w:before="280"/>
      </w:pPr>
      <w:r>
        <w:rPr>
          <w:rFonts w:ascii="Calibri" w:cs="Calibri" w:eastAsia="Calibri" w:hAnsi="Calibri"/>
          <w:b/>
          <w:bCs/>
          <w:color w:val="1F3A5F"/>
          <w:sz w:val="24"/>
          <w:szCs w:val="24"/>
        </w:rPr>
        <w:t xml:space="preserve">Prima di firmare: verifica finale</w:t>
      </w:r>
    </w:p>
    <w:p>
      <w:pPr>
        <w:pStyle w:val="ListParagraph"/>
        <w:numPr>
          <w:ilvl w:val="0"/>
          <w:numId w:val="2"/>
        </w:numPr>
        <w:spacing w:after="80" w:line="276"/>
        <w:jc w:val="both"/>
      </w:pPr>
      <w:r>
        <w:rPr>
          <w:rFonts w:ascii="Calibri" w:cs="Calibri" w:eastAsia="Calibri" w:hAnsi="Calibri"/>
          <w:color w:val="1A1A1A"/>
          <w:sz w:val="20"/>
          <w:szCs w:val="20"/>
        </w:rPr>
        <w:t xml:space="preserve">L'Allegato A indica le quantità per ciascun ambito, e non solo l'elenco delle attività?</w:t>
      </w:r>
    </w:p>
    <w:p>
      <w:pPr>
        <w:pStyle w:val="ListParagraph"/>
        <w:numPr>
          <w:ilvl w:val="0"/>
          <w:numId w:val="2"/>
        </w:numPr>
        <w:spacing w:after="80" w:line="276"/>
        <w:jc w:val="both"/>
      </w:pPr>
      <w:r>
        <w:rPr>
          <w:rFonts w:ascii="Calibri" w:cs="Calibri" w:eastAsia="Calibri" w:hAnsi="Calibri"/>
          <w:color w:val="1A1A1A"/>
          <w:sz w:val="20"/>
          <w:szCs w:val="20"/>
        </w:rPr>
        <w:t xml:space="preserve">È distinto ciò che è consegna di un'opera da ciò che è attività continuativa?</w:t>
      </w:r>
    </w:p>
    <w:p>
      <w:pPr>
        <w:pStyle w:val="ListParagraph"/>
        <w:numPr>
          <w:ilvl w:val="0"/>
          <w:numId w:val="2"/>
        </w:numPr>
        <w:spacing w:after="80" w:line="276"/>
        <w:jc w:val="both"/>
      </w:pPr>
      <w:r>
        <w:rPr>
          <w:rFonts w:ascii="Calibri" w:cs="Calibri" w:eastAsia="Calibri" w:hAnsi="Calibri"/>
          <w:color w:val="1A1A1A"/>
          <w:sz w:val="20"/>
          <w:szCs w:val="20"/>
        </w:rPr>
        <w:t xml:space="preserve">Tutte le risorse digitali sono intestate al Cliente, senza account condivisi?</w:t>
      </w:r>
    </w:p>
    <w:p>
      <w:pPr>
        <w:pStyle w:val="ListParagraph"/>
        <w:numPr>
          <w:ilvl w:val="0"/>
          <w:numId w:val="2"/>
        </w:numPr>
        <w:spacing w:after="80" w:line="276"/>
        <w:jc w:val="both"/>
      </w:pPr>
      <w:r>
        <w:rPr>
          <w:rFonts w:ascii="Calibri" w:cs="Calibri" w:eastAsia="Calibri" w:hAnsi="Calibri"/>
          <w:color w:val="1A1A1A"/>
          <w:sz w:val="20"/>
          <w:szCs w:val="20"/>
        </w:rPr>
        <w:t xml:space="preserve">È previsto un momento periodico di revisione del perimetro?</w:t>
      </w:r>
    </w:p>
    <w:p>
      <w:pPr>
        <w:pStyle w:val="ListParagraph"/>
        <w:numPr>
          <w:ilvl w:val="0"/>
          <w:numId w:val="2"/>
        </w:numPr>
        <w:spacing w:after="80" w:line="276"/>
        <w:jc w:val="both"/>
      </w:pPr>
      <w:r>
        <w:rPr>
          <w:rFonts w:ascii="Calibri" w:cs="Calibri" w:eastAsia="Calibri" w:hAnsi="Calibri"/>
          <w:color w:val="1A1A1A"/>
          <w:sz w:val="20"/>
          <w:szCs w:val="20"/>
        </w:rPr>
        <w:t xml:space="preserve">Il budget di terzi è tenuto distinto dal corrispettivo, con pagamenti intestati al Cliente?</w:t>
      </w:r>
    </w:p>
    <w:p>
      <w:pPr>
        <w:pStyle w:val="ListParagraph"/>
        <w:numPr>
          <w:ilvl w:val="0"/>
          <w:numId w:val="2"/>
        </w:numPr>
        <w:spacing w:after="80" w:line="276"/>
        <w:jc w:val="both"/>
      </w:pPr>
      <w:r>
        <w:rPr>
          <w:rFonts w:ascii="Calibri" w:cs="Calibri" w:eastAsia="Calibri" w:hAnsi="Calibri"/>
          <w:color w:val="1A1A1A"/>
          <w:sz w:val="20"/>
          <w:szCs w:val="20"/>
        </w:rPr>
        <w:t xml:space="preserve">Il Fornitore ha dichiarato eventuali provvigioni percepite da fornitori terzi?</w:t>
      </w:r>
    </w:p>
    <w:p>
      <w:pPr>
        <w:pStyle w:val="ListParagraph"/>
        <w:numPr>
          <w:ilvl w:val="0"/>
          <w:numId w:val="2"/>
        </w:numPr>
        <w:spacing w:after="80" w:line="276"/>
        <w:jc w:val="both"/>
      </w:pPr>
      <w:r>
        <w:rPr>
          <w:rFonts w:ascii="Calibri" w:cs="Calibri" w:eastAsia="Calibri" w:hAnsi="Calibri"/>
          <w:color w:val="1A1A1A"/>
          <w:sz w:val="20"/>
          <w:szCs w:val="20"/>
        </w:rPr>
        <w:t xml:space="preserve">È indicata la fonte del dato che fa fede in caso di discordanza fra piattaforme e gestionale?</w:t>
      </w:r>
    </w:p>
    <w:p>
      <w:pPr>
        <w:pStyle w:val="ListParagraph"/>
        <w:numPr>
          <w:ilvl w:val="0"/>
          <w:numId w:val="2"/>
        </w:numPr>
        <w:spacing w:after="80" w:line="276"/>
        <w:jc w:val="both"/>
      </w:pPr>
      <w:r>
        <w:rPr>
          <w:rFonts w:ascii="Calibri" w:cs="Calibri" w:eastAsia="Calibri" w:hAnsi="Calibri"/>
          <w:color w:val="1A1A1A"/>
          <w:sz w:val="20"/>
          <w:szCs w:val="20"/>
        </w:rPr>
        <w:t xml:space="preserve">L'uso di sistemi di intelligenza artificiale e il divieto di immettervi dati riservati sono disciplinati?</w:t>
      </w:r>
    </w:p>
    <w:p>
      <w:pPr>
        <w:pStyle w:val="ListParagraph"/>
        <w:numPr>
          <w:ilvl w:val="0"/>
          <w:numId w:val="2"/>
        </w:numPr>
        <w:spacing w:after="80" w:line="276"/>
        <w:jc w:val="both"/>
      </w:pPr>
      <w:r>
        <w:rPr>
          <w:rFonts w:ascii="Calibri" w:cs="Calibri" w:eastAsia="Calibri" w:hAnsi="Calibri"/>
          <w:color w:val="1A1A1A"/>
          <w:sz w:val="20"/>
          <w:szCs w:val="20"/>
        </w:rPr>
        <w:t xml:space="preserve">L'atto di nomina a responsabile del trattamento è stato predisposto e allegato?</w:t>
      </w:r>
    </w:p>
    <w:p>
      <w:pPr>
        <w:pStyle w:val="ListParagraph"/>
        <w:numPr>
          <w:ilvl w:val="0"/>
          <w:numId w:val="2"/>
        </w:numPr>
        <w:spacing w:after="80" w:line="276"/>
        <w:jc w:val="both"/>
      </w:pPr>
      <w:r>
        <w:rPr>
          <w:rFonts w:ascii="Calibri" w:cs="Calibri" w:eastAsia="Calibri" w:hAnsi="Calibri"/>
          <w:color w:val="1A1A1A"/>
          <w:sz w:val="20"/>
          <w:szCs w:val="20"/>
        </w:rPr>
        <w:t xml:space="preserve">Il passaggio di consegne prevede un termine e un elenco preciso di cosa viene consegnato?</w:t>
      </w:r>
    </w:p>
    <w:p>
      <w:pPr>
        <w:pBdr>
          <w:bottom w:val="single" w:color="D9DEE5" w:sz="6" w:space="4"/>
        </w:pBdr>
        <w:spacing w:after="140" w:before="280"/>
      </w:pPr>
      <w:r>
        <w:rPr>
          <w:rFonts w:ascii="Calibri" w:cs="Calibri" w:eastAsia="Calibri" w:hAnsi="Calibri"/>
          <w:b/>
          <w:bCs/>
          <w:color w:val="1F3A5F"/>
          <w:sz w:val="24"/>
          <w:szCs w:val="24"/>
        </w:rPr>
        <w:t xml:space="preserve">Avvertenza finale</w:t>
      </w:r>
    </w:p>
    <w:p>
      <w:pPr>
        <w:spacing w:after="120" w:line="276"/>
        <w:jc w:val="both"/>
      </w:pPr>
      <w:r>
        <w:rPr>
          <w:rFonts w:ascii="Calibri" w:cs="Calibri" w:eastAsia="Calibri" w:hAnsi="Calibri"/>
          <w:b w:val="false"/>
          <w:bCs w:val="false"/>
          <w:i w:val="false"/>
          <w:iCs w:val="false"/>
          <w:color w:val="1A1A1A"/>
          <w:sz w:val="20"/>
          <w:szCs w:val="20"/>
        </w:rPr>
        <w:t xml:space="preserve">Questo documento è un fac-simile generico a scopo informativo, redatto dalla redazione di DB Agenzie Italia sulla base della normativa vigente alla data di agosto 2026. Non costituisce un parere legale, non è personalizzato sul caso concreto e non sostituisce l'assistenza di un professionista abilitato.</w:t>
      </w:r>
    </w:p>
    <w:p>
      <w:pPr>
        <w:spacing w:after="120" w:line="276"/>
        <w:jc w:val="both"/>
      </w:pPr>
      <w:r>
        <w:rPr>
          <w:rFonts w:ascii="Calibri" w:cs="Calibri" w:eastAsia="Calibri" w:hAnsi="Calibri"/>
          <w:b w:val="false"/>
          <w:bCs w:val="false"/>
          <w:i w:val="false"/>
          <w:iCs w:val="false"/>
          <w:color w:val="1A1A1A"/>
          <w:sz w:val="20"/>
          <w:szCs w:val="20"/>
        </w:rPr>
        <w:t xml:space="preserve">La soluzione migliore resta sempre rivolgersi a uno studio legale specializzato, che possa redigere un documento cucito su misura sui servizi effettivamente prestati e sul livello di rischio che si è disposti ad assumersi. Gli aspetti fiscali e previdenziali vanno sottoposti al proprio commercialista.</w:t>
      </w:r>
    </w:p>
    <w:p>
      <w:pPr>
        <w:spacing w:after="120" w:line="276"/>
        <w:jc w:val="both"/>
      </w:pPr>
      <w:r>
        <w:rPr>
          <w:rFonts w:ascii="Calibri" w:cs="Calibri" w:eastAsia="Calibri" w:hAnsi="Calibri"/>
          <w:b w:val="false"/>
          <w:bCs w:val="false"/>
          <w:i w:val="false"/>
          <w:iCs w:val="false"/>
          <w:color w:val="1A1A1A"/>
          <w:sz w:val="20"/>
          <w:szCs w:val="20"/>
        </w:rPr>
        <w:t xml:space="preserve">DB Agenzie Italia non risponde dell'uso che viene fatto di questo documento né delle conseguenze derivanti dalla sua adozione senza adeguata verifica professionale.</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6472"/>
        <w:sz w:val="15"/>
        <w:szCs w:val="15"/>
      </w:rPr>
      <w:t xml:space="preserve">dbagenzieitalia.it  ·  documento informativo, non sostituisce un parere legale  ·  pag. </w:t>
    </w:r>
    <w:r>
      <w:rPr>
        <w:rFonts w:ascii="Calibri" w:cs="Calibri" w:eastAsia="Calibri" w:hAnsi="Calibri"/>
        <w:color w:val="5A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EE5" w:sz="4" w:space="6"/>
      </w:pBdr>
      <w:jc w:val="right"/>
    </w:pPr>
    <w:r>
      <w:rPr>
        <w:rFonts w:ascii="Calibri" w:cs="Calibri" w:eastAsia="Calibri" w:hAnsi="Calibri"/>
        <w:color w:val="5A6472"/>
        <w:sz w:val="15"/>
        <w:szCs w:val="15"/>
      </w:rPr>
      <w:t xml:space="preserve">Fac-simile · Contratto di consulenza web marketing · agosto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consulenza in web marketing — fac-simile</dc:title>
  <dc:creator>DB Agenzie Italia</dc:creator>
  <dc:description>FAC-SIMILE · Edizione aggiornata ad agosto 2026</dc:description>
  <cp:lastModifiedBy>Un-named</cp:lastModifiedBy>
  <cp:revision>1</cp:revision>
  <dcterms:created xsi:type="dcterms:W3CDTF">2026-08-12T11:02:55.990Z</dcterms:created>
  <dcterms:modified xsi:type="dcterms:W3CDTF">2026-08-12T11:02:55.991Z</dcterms:modified>
</cp:coreProperties>
</file>

<file path=docProps/custom.xml><?xml version="1.0" encoding="utf-8"?>
<Properties xmlns="http://schemas.openxmlformats.org/officeDocument/2006/custom-properties" xmlns:vt="http://schemas.openxmlformats.org/officeDocument/2006/docPropsVTypes"/>
</file>